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D-2165/2015 vom 9. Juni 2015</w:t>
      </w:r>
    </w:p>
    <w:p>
      <w:r>
        <w:t>Bundesverwaltungsgericht, 2015-06-09, DE</w:t>
      </w:r>
    </w:p>
    <w:p>
      <w:r>
        <w:rPr>
          <w:b/>
        </w:rPr>
        <w:t xml:space="preserve">Quelle: </w:t>
      </w:r>
      <w:r>
        <w:t>https://mcp.opencaselaw.ch/entscheid/bvger_D-2165_2015</w:t>
      </w:r>
    </w:p>
    <w:p>
      <w:r>
        <w:t>FR: TAF D-2165/2015 du 9 juin 2015</w:t>
      </w:r>
    </w:p>
    <w:p>
      <w:r>
        <w:t>IT: TAF D-2165/2015 del 9 giugno 2015</w:t>
      </w:r>
    </w:p>
    <w:p>
      <w:pPr>
        <w:pStyle w:val="Heading2"/>
      </w:pPr>
      <w:r>
        <w:t>Regeste</w:t>
      </w:r>
    </w:p>
    <w:p>
      <w:r>
        <w:t>Familienzusammenführung (Asyl)</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33 Verwaltungsgerichtsgesetz [VGG, SR 173.32] und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Der Beschwerdeführer ist legitimiert (Art. 48 Abs. 1 VwVG) und seine Eingabe erweist sich als frist- und formgerecht (Art. 108 Abs. 1 AsylG, Art. 52 Abs. 1 VwVG), womit auf die Beschwerde einzutreten ist.</w:t>
      </w:r>
    </w:p>
    <w:p>
      <w:r>
        <w:rPr>
          <w:b/>
        </w:rPr>
        <w:t>E. 1.4</w:t>
      </w:r>
    </w:p>
    <w:p>
      <w:r>
        <w:t>Mit der Beschwerde kann die Verletzung von Bundesrecht, einschliesslich Missbrauch und Überschreitung des Ermessens und die unrichtige oder unvollständige Feststellung des rechtserheblichen Sachverhalts gerügt werden (Art. 106 Abs. 1 AsylG).</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w:t>
      </w:r>
    </w:p>
    <w:p>
      <w:r>
        <w:rPr>
          <w:b/>
        </w:rPr>
        <w:t>E. 3.1</w:t>
      </w:r>
    </w:p>
    <w:p>
      <w:r>
        <w:t>Aus den Sachverhaltsschilderungen des Beschwerdeführers geht hervor, dass er sich im Jahr 2000 von seiner ersten Ehefrau und Mutter zweier Kinder trennte beziehungsweise seine Partnerin die Trennung ver­anlasste. In der Folge hätten die Kinder bei der Mutter gewohnt (B 7/11 S. 5). Die Behauptung des Beschwerdeführers in der Eingabe vom 12. Januar 2015, mit den beiden Kindern bis 2006 in D._______ gewohnt zu haben, vermag entsprechend nicht zu überzeugen. Im Sinne seiner weiteren Ausführungen und Eingaben mag zutreffen, dass er nach der Trennung von 2000 - auch durch seine Zughörigkeit zur Armee und die Verletzungen erschwerte - Kontakte zu ihnen pflegte, von der Schweiz aus via seine Eltern in Kontakt blieb und sie finanziell unterstützte. Dem Anhörungsprotokoll ist indes zu entnehmen, dass er sich nach der zweiten Heirat 2004 im Urlaub oft bei der Ehefrau und damit nicht bei den Kindern bei der Exfrau aufhielt (B 16/15 Antwort 11). Ferner gab er auf die Frage, was für ihn das Schwierigste bei der Ausreise aus Eritrea gewesen sei, eine drohende Verhaftung an. Die Kinder, welche er zurückliess, erwähnte er an dieser Stelle nicht (a.a.O. Antwort 85). Seine Ausreise erfolgte gemeinsam mit der Ehefrau.</w:t>
      </w:r>
    </w:p>
    <w:p>
      <w:r>
        <w:rPr>
          <w:b/>
        </w:rPr>
        <w:t>E. 3.2</w:t>
      </w:r>
    </w:p>
    <w:p>
      <w:r>
        <w:t>Es ist aber festzuhalten, dass die Bestimmungen zum Familienasyl nach Art. 51 Abs. 1 und 4 AsylG weder zur Aufnahme von neuen respektive von zuvor noch gar nicht gelebten familiären Beziehungen noch zur Wiederaufnahme von bereits abgebrochenen solchen Beziehungen herangezogen werden können (vgl. für die langjährige Praxis: Entscheidungen und Mitteilungen der Schweizerischen Asylrekurskommission [EMARK] 2000 Nr. 11 E. 3b S. 89 sowie 2006 Nr. 8 E. 3.2 S. 94 f.). Das Institut des Familienasyls zielt nach der Konzeption des Gesetzes und ständiger Praxis alleine auf die Bewahrung bestehender Familiengemeinschaften ab, respektive auf deren Wiederherstellung, sollte es aufgrund der Fluchtumstände zu einer erzwungenen Trennung der Familie gekommen sein. Die entsprechenden Anforderungen erfüllt der Beschwerdeführer aber nach dem Gesagten nicht, da vor der Ausreise keine Familiengemeinschaft zu den beiden Kindern aus erster Ehe bestand. Die eingereichten Beweismittel vermögen eine solche Gemeinschaft ebenfalls nicht zu belegen.</w:t>
      </w:r>
    </w:p>
    <w:p>
      <w:r>
        <w:rPr>
          <w:b/>
        </w:rPr>
        <w:t>E. 3.3</w:t>
      </w:r>
    </w:p>
    <w:p>
      <w:r>
        <w:t>Die Asylgesetzgebung bietet dem Beschwerdeführer keine weitere respektive andere Handhabe, um die beiden Kinder aus erster Ehe in die Schweiz nachzuziehen. Sollte er am Vorhaben des Nachzuges festhalten wollen, so ist er an die für ihn zuständige kantonale Behörde zu verweisen, welche für die Beurteilung des Familiennachzuges nach den ausländerrechtlichen Bestimmungen zuständig ist (vgl. dazu wiederum EMARK 2006 Nr. 8 E. 3.2 [S. 95, zweitletzter Absatz]).</w:t>
      </w:r>
    </w:p>
    <w:p>
      <w:r>
        <w:rPr>
          <w:b/>
        </w:rPr>
        <w:t>E. 4</w:t>
      </w:r>
    </w:p>
    <w:p>
      <w:r>
        <w:t>Nach dem Gesagten ergibt sich, dass das SEM zu Recht das Gesuch um Familiennachzug der beiden Kinder respektive um Bewilligung der Einreise in die Schweiz und Einbezug in die Flüchtlingseigenschaft gemäss Art. 51 Abs. 1 und 4 AsylG abgelehnt hat. Die angefochtene Verfügung ist daher zu bestätigen und die Beschwerde abzuweisen.</w:t>
      </w:r>
    </w:p>
    <w:p>
      <w:r>
        <w:rPr>
          <w:b/>
        </w:rPr>
        <w:t>E. 5</w:t>
      </w:r>
    </w:p>
    <w:p>
      <w:r>
        <w:t>Bei diesem Ausgang des Verfahrens sind die Kosten dem Beschwerde­führer aufzuerlegen (Art. 63 Abs. 1 VwVG) und auf insgesamt Fr. 600.- festzusetzen (Art. 1-3 VGKE [SR 173.320.2]). Der einbezahlte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