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D-2164/2016 vom 8. Dezember 2016</w:t>
      </w:r>
    </w:p>
    <w:p>
      <w:r>
        <w:t>Bundesverwaltungsgericht, 2016-12-08, FR</w:t>
      </w:r>
    </w:p>
    <w:p>
      <w:r>
        <w:rPr>
          <w:b/>
        </w:rPr>
        <w:t xml:space="preserve">Quelle: </w:t>
      </w:r>
      <w:r>
        <w:t>https://mcp.opencaselaw.ch/entscheid/bvger_D-2164_2016</w:t>
      </w:r>
    </w:p>
    <w:p>
      <w:r>
        <w:t>FR: TAF D-2164/2016 du 8 décembre 2016</w:t>
      </w:r>
    </w:p>
    <w:p>
      <w:r>
        <w:t>IT: TAF D-2164/2016 del 8 dicembre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du SEM du 7 mars 2016 rejetant la demande de réexamen est annulée.</w:t>
      </w:r>
    </w:p>
    <w:p>
      <w:r>
        <w:rPr>
          <w:b/>
        </w:rPr>
        <w:t>E. 3</w:t>
      </w:r>
    </w:p>
    <w:p>
      <w:r>
        <w:t>Le SEM est invité à régler les conditions de résidence en Suisse du recourant conformément aux dispositions relatives à l'admission provisoire.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au recourant le montant de 700 francs à titre de dépens.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