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D-2161/2023 vom 25. April 2023</w:t>
      </w:r>
    </w:p>
    <w:p>
      <w:r>
        <w:t>Bundesverwaltungsgericht, 2023-04-25, DE</w:t>
      </w:r>
    </w:p>
    <w:p>
      <w:r>
        <w:rPr>
          <w:b/>
        </w:rPr>
        <w:t xml:space="preserve">Quelle: </w:t>
      </w:r>
      <w:r>
        <w:t>https://mcp.opencaselaw.ch/entscheid/bvger_D-2161_2023</w:t>
      </w:r>
    </w:p>
    <w:p>
      <w:r>
        <w:t>FR: TAF D-2161/2023 du 25 avril 2023</w:t>
      </w:r>
    </w:p>
    <w:p>
      <w:r>
        <w:t>IT: TAF D-2161/2023 del 25 aprile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hier - endgültig (vgl. Art. 83 Bst. d Ziff. 1 BGG). Die Beschwerdeführerin ist zur Beschwerdeführung legitimiert (Art. 48 Abs. 1 VwVG). Auf die frist- und formgerecht eingereichte Beschwerde ist einzutreten (Art. 108 Abs. 3 AsylG und Art. 52 Abs. 1 VwVG). Das Verfahren richtet sich nach dem VwVG, dem VGG und dem BGG, soweit das AsylG nichts anderes bestimmt (Art. 37 VGG und Art. 6 AsylG).</w:t>
      </w:r>
    </w:p>
    <w:p>
      <w:r>
        <w:rPr>
          <w:b/>
        </w:rPr>
        <w:t>E. 2</w:t>
      </w:r>
    </w:p>
    <w:p>
      <w:r>
        <w:t>Die Beschwerdefrist ist zwar noch nicht abgelaufen, es ergibt sich aber aus der Beschwerde, dass diese als abschliessend zu verstehen ist, weshalb das Urteil gefällt werden kann (vgl. EMARK 1997/13).</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5.3</w:t>
      </w:r>
    </w:p>
    <w:p>
      <w:r>
        <w:t>Besitzt eine antragstellende Person ein gültiges Visum, so ist der Mitgliedstaat, der das Visum erteilt hat, für die Prüfung des Antrags auf internationalen Schutz zuständig, es sei denn, dass das Visum im Auftrag eines anderen Mitgliedstaats im Rahmen einer Vertretungsvereinbarung gemäss Artikel 8 der Verordnung (EG) Nr. 810/2009 des Europäischen Parlaments und des Rates vom 13. Juli 2009 über einen Visakodex der Gemeinschaft erteilt wurde. In diesem Fall ist der vertretene Mitgliedstaat für die Prüfung des Antrags auf internationalen Schutz zuständig (Art. 12 Abs. 2 Dublin-III-VO). Der Umstand, dass das Visum aufgrund einer falschen oder missbräuchlich verwendeten Identität oder nach Vorlage von gefälschten, falschen oder ungültigen Dokumenten erteilt wurde, hindert nicht daran, dem Mitgliedstaat, der das Visum erteilt hat, die Zuständigkeit zuzuweisen (Art. 12 Abs. 5 Dublin-III-VO).</w:t>
      </w:r>
    </w:p>
    <w:p>
      <w:r>
        <w:rPr>
          <w:b/>
        </w:rPr>
        <w:t>E. 6.1</w:t>
      </w:r>
    </w:p>
    <w:p>
      <w:r>
        <w:t>Gemäss CS-VIS war der Beschwerdeführerin von den französischen Behörden am 7. Februar 2023 ein bis 6. März 2023 gültiges Schengen-Visum ausgestellt worden. Die französischen Behörden hiessen das Übernahmegesuch des SEM am 17. April 2023 gestützt auf Art. 12 Abs. 2 Dublin-III-VO gut. Die grundsätzliche Zuständigkeit Frankreichs ist somit gegeben und wird von der Beschwerdeführerin nicht bestritten.</w:t>
      </w:r>
    </w:p>
    <w:p>
      <w:r>
        <w:rPr>
          <w:b/>
        </w:rPr>
        <w:t>E. 6.2</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6.2.1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Ferner bestehen keine Gründe für die Annahme, das Asylverfahren und die Aufnahmebedingungen für Antragstellende in Frankreich würden systemische Schwachstellen im Sinne von Art. 3 Abs. 2 Sätze 2 und 3 Dublin-III-VO aufweisen. Unter diesen Umständen ist die Anwendung von Art. 3 Abs. 2 Dublin-III-VO nicht gerechtfertigt.</w:t>
      </w:r>
    </w:p>
    <w:p>
      <w:r>
        <w:rPr>
          <w:b/>
        </w:rPr>
        <w:t>E. 6.3.1</w:t>
      </w:r>
    </w:p>
    <w:p>
      <w:r>
        <w:t>Abweichend von Art. 3 Abs. 1 Dublin-III-VO kann jeder Mitgliedstaat beschliessen, einen bei ihm von einer drittstaatsangehörigen oder staatenlosen Person gestellten Antrag auf internationalen Schutz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6.3.2</w:t>
      </w:r>
    </w:p>
    <w:p>
      <w:r>
        <w:t>Die Beschwerdeführerin hat kein konkretes und ernsthaftes Risiko dargetan, die französischen Behörden würden sich weigern, sie 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Frankreich seien derart schlecht, dass sie zu einer Verletzung von Art. 4 der EU-Grundrechtecharta, Art. 3 EMRK oder Art. 3 FoK führen könnten. Die Beschwerdeführerin hat auch keine konkreten Hinweise für die Annahme dargetan, Frankreich würde ihr dauerhaft die ihr gemäss Aufnah-merichtlinie zustehenden minimalen Lebensbedingungen vorenthalten. Bei einer allfälligen vorübergehenden Einschränkung könnte sie sich im Übrigen nötigenfalls an die dortigen Behörden wenden und die ihr zustehenden Aufnahmebedingungen auf dem Rechtsweg einfordern (vgl. Art. 26 Auf- nahmerichtlinie).</w:t>
      </w:r>
    </w:p>
    <w:p>
      <w:r>
        <w:rPr>
          <w:b/>
        </w:rPr>
        <w:t>E. 6.3.3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6.3.4</w:t>
      </w:r>
    </w:p>
    <w:p>
      <w:r>
        <w:t>Vorliegend ergibt sich aus dem ärztlichen Kurzbericht vom 23. Februar 2023 (vgl. SEM act. 1233260-19/4) (...). Für das weitere Vorgehen war namentlich vorgesehen: (...) Eine Nachfrage des SEM beim Gesundheitsdienst im BAZ ergab, dass die Beschwerdeführerin einen Arzttermin am 23. Februar 2023 nicht wahrgenommen und die ihr zur Verfügung gestellten Medikamente nicht abgeholt hatte. Es seien keine weiteren ärztlichen Termine ausstehend. Vor diesem Hintergrund ist kein dringlicher Behandlungsbedarf zu erkennen. Der Gesundheitszustand der Beschwerdeführerin rechtfertigt die Annahme einer Unzulässigkeit im Sinne der vorgenannten restriktiven Rechtsprechung offensichtlich nicht. Die gesundheitlichen Probleme sind auch nicht von einer derartigen Schwere, dass aus humanitären Gründen von einer Überstellung abgesehen werden müsste. Im Übrigen ist allgemein bekannt, dass Frankreich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Es liegen keine Hinweise vor, wonach Frankreich der Beschwerdeführerin eine adäquate medizinische Behandlung verweigern würde. Die schweizerischen Behörden, die mit dem Vollzug der angefochten Verfügung beauftragt sind, werden den medizinischen Umständen bei der Bestimmung der konkreten Modalitäten der Überstellung der Beschwerdeführerin Rechnung tragen und die französischen Behörden vorgängig in geeigneter Weise über die spezifischen medizinischen Umstände informieren (vgl. Art. 31 f. Dublin-III-VO).</w:t>
      </w:r>
    </w:p>
    <w:p>
      <w:r>
        <w:rPr>
          <w:b/>
        </w:rPr>
        <w:t>E. 6.3.5</w:t>
      </w:r>
    </w:p>
    <w:p>
      <w:r>
        <w:t>Folglich droht keine Verletzung von Art. 3 EMRK, weshalb die Schweiz nicht zum Selbsteintritt nach Art. 17 Abs. 1 Dublin-III-VO verpflichtet ist.</w:t>
      </w:r>
    </w:p>
    <w:p>
      <w:r>
        <w:rPr>
          <w:b/>
        </w:rPr>
        <w:t>E. 6.3.6</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6.3.7</w:t>
      </w:r>
    </w:p>
    <w:p>
      <w:r>
        <w:t>Zusammenfassend besteht kein Grund für eine Anwendung der Ermessensklauseln von Art. 17 Dublin-III-VO; andere Gründe, die der Schweiz Anlass geben könnten, von ihrem Selbsteintrittsrecht nach Art. 17 Dublin-III-VO Gebrauch zu machen, wurden weder geltend gemacht noch sind solche ersichtlich. Darüber hinaus ist gemäss der geltenden Rechtsprechung zu Frankreich die Vorinstanz auch nicht gehalten, individuelle Zusicherungen einzuholen.</w:t>
      </w:r>
    </w:p>
    <w:p>
      <w:r>
        <w:rPr>
          <w:b/>
        </w:rPr>
        <w:t>E. 6.4</w:t>
      </w:r>
    </w:p>
    <w:p>
      <w:r>
        <w:t>Nach dem Gesagten bleibt Frankreich der für die Behandlung der Asylgesuche der Beschwerdeführerin zuständige Mitgliedstaat gemäss Dublin-III-VO.</w:t>
      </w:r>
    </w:p>
    <w:p>
      <w:r>
        <w:rPr>
          <w:b/>
        </w:rPr>
        <w:t>E. 7</w:t>
      </w:r>
    </w:p>
    <w:p>
      <w:r>
        <w:t>Das SEM ist demnach zu Recht in Anwendung von Art. 31a Abs. 1 Bst. b AsylG auf das Asylgesuch nicht eingetreten. Da die Beschwerdeführerin nicht im Besitz einer gültigen Aufenthalts- oder Niederlassungsbewilligung ist, wurde die Überstellung nach Frankreich in Anwendung von Art. 44 AsylG ebenfalls zu Recht angeordnet (Art. 32 Bst. a AsylV 1).</w:t>
      </w:r>
    </w:p>
    <w:p>
      <w:r>
        <w:rPr>
          <w:b/>
        </w:rPr>
        <w:t>E. 8</w:t>
      </w:r>
    </w:p>
    <w:p>
      <w:r>
        <w:t>Das Fehlen von Überstellungshindernissen ist bereits Voraussetzung des Nichteintretensentscheides gemäss Art. 31a Abs. 1 Bst. b AsylG, weshalb allfällige Vollzugshindernisse gemäss Art. 83 Abs. 3 und 4 AIG (SR 142.20) nicht mehr zu prüfen sind (vgl. BVGE 2015/18 E. 5.2 m.w.H.).</w:t>
      </w:r>
    </w:p>
    <w:p>
      <w:r>
        <w:rPr>
          <w:b/>
        </w:rPr>
        <w:t>E. 9</w:t>
      </w:r>
    </w:p>
    <w:p>
      <w:r>
        <w:t>Nach dem Gesagten ist die Beschwerde abzuweisen und die Verfügung des SEM zu bestätigen. Mit dem vorliegenden Urteil fällt der am 21. April 2023 angeordnete Vollzugsstopp dahin. Das Gesuch um Erteilung der aufschiebenden Wirkung ist gegenstandslos geworden.</w:t>
      </w:r>
    </w:p>
    <w:p>
      <w:r>
        <w:rPr>
          <w:b/>
        </w:rPr>
        <w:t>E. 10.1</w:t>
      </w:r>
    </w:p>
    <w:p>
      <w:r>
        <w:t>Die Gesuche um Gewährung der unentgeltlichen Prozessführung und amtlichen Rechtsverbeiständung sind abzuweisen, da die Begehren - wie sich aus den vorstehenden Erwägungen ergibt - als aussichtslos zu bezeichnen sind.</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