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D-2154/2011 vom 19. April 2011</w:t>
      </w:r>
    </w:p>
    <w:p>
      <w:r>
        <w:t>Bundesverwaltungsgericht, 2011-04-19, DE</w:t>
      </w:r>
    </w:p>
    <w:p>
      <w:r>
        <w:rPr>
          <w:b/>
        </w:rPr>
        <w:t xml:space="preserve">Quelle: </w:t>
      </w:r>
      <w:r>
        <w:t>https://mcp.opencaselaw.ch/entscheid/bvger_D-2154_2011</w:t>
      </w:r>
    </w:p>
    <w:p>
      <w:r>
        <w:t>FR: TAF D-2154/2011 du 19 avril 2011</w:t>
      </w:r>
    </w:p>
    <w:p>
      <w:r>
        <w:t>IT: TAF D-2154/2011 del 19 aprile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somit zur Einreichung der Beschwerde legitimiert (Art. 105 AsylG und Art. 108 Abs. 2 AsylG i.V.m. Art. 37 VGG, Art. 48 Abs. 1 und Art. 52 VwVG). Auf die Beschwerde ist daher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bei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Entscheidungen und Mitteilungen der [vormaligen] Schweizerischen Asylrekurskommission [EMARK] 2004 Nr. 34 E. 2.1 S. 240 f.). Auf den Antrag in der Beschwerdeschrift um Gewährung des Asyls ist mithin nicht einzutreten. Indes prüft die Vorinstanz die Frage der Wegweisung und des Vollzugs materiell,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Vorliegend handelt es sich - wie nachfolgend aufgezeigt - um eine solche, weshalb der Beschwerdeentscheid nur summarisch zu begründen ist (Art. 111a Abs. 2 AsylG). Auf einen Schriftenwechsel wurde gestützt auf Art. 111a Abs. 1 AsylG verzichtet.</w:t>
      </w:r>
    </w:p>
    <w:p>
      <w:r>
        <w:rPr>
          <w:b/>
        </w:rPr>
        <w:t>E. 5.1</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w:t>
      </w:r>
    </w:p>
    <w:p>
      <w:r>
        <w:rPr>
          <w:b/>
        </w:rPr>
        <w:t>E. 5.2</w:t>
      </w:r>
    </w:p>
    <w:p>
      <w:r>
        <w:t>Der Beschwerdeführer hat in der Schweiz bereits ein Asylverfahren erfolglos durchlaufen. Das formelle Erfordernis des Nichteintretensgrunds von Art. 32 Abs. 2 Bst. e AsylG ist damit erfüllt.</w:t>
      </w:r>
    </w:p>
    <w:p>
      <w:r>
        <w:rPr>
          <w:b/>
        </w:rPr>
        <w:t>E. 5.3</w:t>
      </w:r>
    </w:p>
    <w:p>
      <w:r>
        <w:t>Hinsichtlich des materiellen Erfordernisses geht das Bundesverwaltungsgericht in Übereinstimmung mit dem BFM davon aus, dass kein Hinweis im Sinne von Art. 32 Abs. 2 Bst. e AsylG vorliegt, wonach seit Abschluss des ersten Asylverfahrens bedeutsame Ereignisse eingetreten sind, die geeignet sind, die Flüchtlingseigenschaft zu begründen. Zur Erläuterung dessen kann vorab auf die zutreffenden Erwägungen des BFM in der angefochtenen Verfügung vom 5. April 2011 verwiesen werden. Der Rechtsmitteleingabe sind keine stichhaltigen Entgegnungen zu entnehmen, die die Argumentation des BFM in Zweifel zu ziehen vermöchten.</w:t>
      </w:r>
    </w:p>
    <w:p>
      <w:r>
        <w:rPr>
          <w:b/>
        </w:rPr>
        <w:t>E. 5.3.1</w:t>
      </w:r>
    </w:p>
    <w:p>
      <w:r>
        <w:t>Im mit dem Beschwerdeurteil des Bundesverwaltungsgerichts vom 18. Juni 2010 rechtskräftig abgeschlossenen ersten Asylverfahren wurde festgestellt, dass der Beschwerdeführer die Flüchtlingseigenschaft nicht erfüllt. Hinweise, dass seither Ereignisse eingetreten seien, die geeignet wären, die Flüchtlingseigenschaft nunmehr zu begründen, liegen nicht vor. Der Beschwerdeführer beruft sich erneut auf die bereits im ersten Asylverfahren geltend gemachten Erlebnisse in der Studienzeit (vgl. B4 S. 4 f.), die jedoch in der Verfügung des BFM vom 19. Januar 2010, bestätigt durch das Beschwerdeurteil vom 18. Juni 2010, als unglaubhaft erkannt worden sind. An dieser Beurteilung vermögen weder die diesbezüglichen unsubstanziierten Ausführungen des Beschwerdeführers in der Anhörung vom 31. März 2011 (vgl. B4 S. 4 f.) noch die am 22. Juli 2010 diagnostizierte PTBS (vgl. dazu die nachfolgenden Ausführungen unter E. 7.2.2.) etwas zu ändern. Als eigentlichen Anlass für die erneute Flucht aus der Türkei nannte der Beschwerdeführer Probleme mit der PKK; diese habe gedroht, ihn bei Nichtbefolgung ihrer Anweisungen den Behörden oder der "Ülkücü" auszuliefern (vgl. B4 S. 5 ff.). Angesichts dieses Zerwürfnisses erscheint es jedoch in der Tat unrealistisch, dass die Rückkehr des Beschwerdeführers in die Schweiz wiederum mit Hilfe der PKK erfolgt sei; im Übrigen konnte der Beschwerdeführer weder die angebliche Rückkehr in die Türkei noch die Rückreise in die Schweiz belegen. Auch die wiederum vorgebrachte Gefährdung durch die "Ülkücü" blieb unsubstanziiert (vgl. B4 S. 8).</w:t>
      </w:r>
    </w:p>
    <w:p>
      <w:r>
        <w:rPr>
          <w:b/>
        </w:rPr>
        <w:t>E. 5.3.2</w:t>
      </w:r>
    </w:p>
    <w:p>
      <w:r>
        <w:t>Hinsichtlich der erneut geäusserten Angst vor einer Einberufung in den Militärdienst ist festzuhalten, dass die Rekrutierung und eine allfällige Strafe wegen Refraktion oder Desertion gemäss konstanter Rechtsprechung grundsätzlich keine Verfolgung im Sinne von Art. 3 AsylG darstellen würde. Es gehört zu den legitimen Rechten eines Staates, seine Bürger zum Militärdienst einzuberufen und zur Durchsetzung der Wehrpflicht strafrechtliche oder disziplinarische Sanktionen zu verhängen (vgl. EMARK 2004 Nr. 2 E. 6b.aa S. 16). Als flüchtlingsrechtlich relevant gilt eine Bestrafung dann, wenn der Wehrpflichtige aus einem Grund nach Art. 3 AsylG mit einer höheren Strafe zu rechnen hat (sog. Politmalus). 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 sollte er in Anbetracht der geltend gemachten psychischen Probleme überhaupt als tauglich erachtet werden - wäre mithin als asylrechtlich nicht relevant zu qualifizieren. Kurdische Refraktäre haben ihrer Ethnie wegen nicht generell strengere Strafen im Sinne eines "Malus" zu befürchten und es besteht kein Grund zur Annahme, dass ein allfälliges Verfahren gegen den Beschwerdeführer aus anderen als militärstrafrechtlichen Gründen angehoben und er härter als andere Dienstverweigerer bestraft würde. Es liegt somit auch in dieser Hinsicht keine objektiv begründete Furcht vor Verfolgung vor. Die mit der Beschwerde eingereichten Beweismittel vermögen an dieser Einschätzung nichts zu ändern.</w:t>
      </w:r>
    </w:p>
    <w:p>
      <w:r>
        <w:rPr>
          <w:b/>
        </w:rPr>
        <w:t>E. 5.3.3</w:t>
      </w:r>
    </w:p>
    <w:p>
      <w:r>
        <w:t>Das materielle Erfordernis für den Nichteintretensgrund von Art. 32 Abs. 2 Bst. e AsylG ist somit ebenfalls erfüllt. Das BFM ist daher auf das Asylgesuch des Beschwerdeführers vom 10. März 2011 zu Recht nicht eingetreten.</w:t>
      </w:r>
    </w:p>
    <w:p>
      <w:r>
        <w:rPr>
          <w:b/>
        </w:rPr>
        <w:t>E. 6</w:t>
      </w:r>
    </w:p>
    <w:p>
      <w:r>
        <w:t>Lehnt das Bundesamt das Asylgesuch ab oder tritt es darauf nicht ein, so verfügt es in der Regel die Wegweisung aus der Schweiz und ordnet den Vollzug an (Art. 44 Abs. 1 AsylG). Der Beschwerdeführer verfügt unverändert weder über eine ausländerrechtliche Aufenthaltsbewilligung noch über einen Anspruch auf Erteilung einer solchen. Die Wegweisung wurde demnach zu Recht angeordnet (vgl. Entscheide des Schweizerischen Bundesverwaltungsgerichts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Dies ist vorliegend nicht der Fall. Der Vollzug der Wegweisung in die Türkei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vorliegend nicht der Fall. Auch die allgemeine Menschenrechtslage in der Türkei lässt den Wegweisungsvollzug nicht als unzulässig erscheinen. Der EGMR anerkennt zudem grundsätzlich keinen durch die EMRK geschützten Anspruch auf Verbleib in einem Konventionsstaat, um weiterhin in den Genuss medizinischer Unterstützung zu kommen. Nur bei ganz aussergewöhnlichen Umständen könnte der Wegweisungsvollzug aus gesundheitlichen Gründen gegen Art. 3 EMRK verstossen (vgl. EMARK 2005 Nr. 23 E. 5.1 S. 211 f.), wie der EGMR bisher einzig bei einer in der terminalen Phase an AIDS erkrankter Person festgestellt hat (vgl. Urteil vom 2. Mai 1997 i.S. D. gegen Vereinigtes Königreich). Das vorliegend dokumentierte Krankheitsbild des Beschwerdeführers bildet kein völkerrechtliches Wegweisungshindernis.</w:t>
      </w:r>
    </w:p>
    <w:p>
      <w:r>
        <w:rPr>
          <w:b/>
        </w:rPr>
        <w:t>E. 7.1.3</w:t>
      </w:r>
    </w:p>
    <w:p>
      <w:r>
        <w:t>Der Wegweisungsvollzug erweist sich somit als zulässig.</w:t>
      </w:r>
    </w:p>
    <w:p>
      <w:r>
        <w:rPr>
          <w:b/>
        </w:rPr>
        <w:t>E. 7.2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Ausländerinnen und Ausländer vom 8. März 2002, BBl 2002 3818).</w:t>
      </w:r>
    </w:p>
    <w:p>
      <w:r>
        <w:rPr>
          <w:b/>
        </w:rPr>
        <w:t>E. 7.2.1</w:t>
      </w:r>
    </w:p>
    <w:p>
      <w:r>
        <w:t>In der Türkei herrscht keine Situation allgemeiner Gewalt, weshalb der Wegweisungsvollzug dorthin als generell zumutbar zu bezeichnen ist.</w:t>
      </w:r>
    </w:p>
    <w:p>
      <w:r>
        <w:rPr>
          <w:b/>
        </w:rPr>
        <w:t>E. 7.2.2</w:t>
      </w:r>
    </w:p>
    <w:p>
      <w:r>
        <w:t>In den Akten finden sich auch keine konkreten Anhaltspunkte dafür, dass sich die Situation des Beschwerdeführers seit der rechtskräftigen Ablehnung seines ersten Asylgesuchs aus individuellen Gründen wirtschaftlicher, sozialer oder gesundheitlicher Natur dahingehend geändert hätte, als dass er bei einer Rückkehr in die Türkei in eine existenzbedrohende Situation geraten würde. Hinsichtlich der geltend gemachten gesundheitlichen Probleme ist - wie im Beschwerdeurteil vom 18. Juni 2010 bereits ausgeführt - erneut darauf hinzuweisen, dass aufgrund einer medizinischen Notlage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die zur Gewährleistung einer menschenwürdigen Existenz absolut notwendig ist. Unzumutbarkeit liegt jedenfalls noch nicht vor, wenn im Heimatstaat eine nicht dem schweizerischen Standard entsprechende medizinische Behandlung möglich ist (vgl. BVGE 2009/2, EMARK 2003 Nr. 24 E. 5a und b). Die psychische Erkrankung des Beschwerdeführers (PTBS) lässt nicht auf eine konkrete Gefährdung aufgrund einer medizinischen Notlage schliessen, die in der Türkei nicht behandelbar wäre. Der ärztliche Bericht vom 22. Juli 2010 stammt von einem Facharzt; die medizinische Diagnose wird daher nicht bestritten. Bezüglich der Ursache der psychischen Erkrankung ist jedoch festzuhalten, dass sich der Arzt in der Anamnese auf die Aussagen des Patienten und somit auf Hypothesen stützt. Die Beurteilung der Durchführbarkeit des Wegweisungsvollzugs ist wie die Beurteilung der Glaubhaftigkeit der geltend gemachten Vorbringen eine Rechtsfrage, deren Beantwortung Aufgabe der entscheidenden Behörde ist. Hinsichtlich der diagnostizierten PTBS ist festzuhalten, dass sich der geltend gemachte Auslöser als nicht glaubhaft erwiesen hat. Es ist deshalb davon auszugehen, dass der Erkrankung eine andere Ursache zugrunde liegt. Auf die Frage nach dem aktuellen Gesundheitszustand gab der Beschwerdeführer in der Anhörung vom 31. März 2011 an, er habe Angstträume, komme zurzeit aber zurecht und brauche keine Medikamente (vgl. B4 S. 3). Der diesbezüglichen Feststellung des BFM, die notwendigen medizinischen Institutionen zur Behandlung psychischer Erkrankungen seien auch in der Türkei vorhanden, ist beizupflichten. Damit ist nicht davon auszugehen, der Beschwerdeführer würde bei einer Rückkehr in die Türkei in eine seine Existenz vernichtende Situation geraten, die als konkrete Gefährdung im Sinne der zu beachtenden Bestimmungen zu werten wäre (Art. 83 Abs. 4 AuG).</w:t>
      </w:r>
    </w:p>
    <w:p>
      <w:r>
        <w:rPr>
          <w:b/>
        </w:rPr>
        <w:t>E. 7.2.3</w:t>
      </w:r>
    </w:p>
    <w:p>
      <w:r>
        <w:t>Der Vollzug der Wegweisung erweist sich daher in genereller und individueller Hinsicht weiterhin als zumutbar.</w:t>
      </w:r>
    </w:p>
    <w:p>
      <w:r>
        <w:rPr>
          <w:b/>
        </w:rPr>
        <w:t>E. 7.3</w:t>
      </w:r>
    </w:p>
    <w:p>
      <w:r>
        <w:t>Schliesslich obliegt es dem Beschwerdeführer, bei der Beschaffung gültiger Reisedokumente mitzuwirken (Art. 8 Abs. 4 AsylG, vgl. dazu auch BVGE 2008/34 E. 12 S. 513 ff.), weshalb der Vollzug der Wegweisung auch als möglich zu bezeichnen ist (Art. 83 Abs. 2 AuG).</w:t>
      </w:r>
    </w:p>
    <w:p>
      <w:r>
        <w:rPr>
          <w:b/>
        </w:rPr>
        <w:t>E. 7.4</w:t>
      </w:r>
    </w:p>
    <w:p>
      <w:r>
        <w:t>Der durch die Vorinstanz verfügte Wegweisungsvollzug ist damit zu bestätigen. Eine Anordnung der vorläufigen Aufnahme fällt ausser Betracht (Art. 83 Abs.1-4 AuG).</w:t>
      </w:r>
    </w:p>
    <w:p>
      <w:r>
        <w:rPr>
          <w:b/>
        </w:rPr>
        <w:t>E. 8</w:t>
      </w:r>
    </w:p>
    <w:p>
      <w:r>
        <w:t>Soweit in der Beschwerdeeingabe vom 12. April 2011 geltend gemacht wird, das Urteil des Bundesverwaltungsgerichts vom 18. Juni 2010 wäre revisionsbedürftig gewesen, ist der Vollständigkeit halber - ein entsprechender (Eventual-)Antrag zur Behandlung der Beschwerdeeingabe als Revisionsgesuch wurde nicht gestellt - festzuhalten, dass sich eine Beschwerde nicht gleichzeitig gegen Entscheide verschiedener Behörden richten kann; das Beschwerdeurteil des Bundesverwaltungsgerichts vom 18. Juni 2010 könnte somit vorliegend nicht gleichzeitig Anfechtungsobjekt sein, weshalb unter dem Titel einer allfällig beabsichtigten Revision auf die Beschwerde nicht einzutreten ist.</w:t>
      </w:r>
    </w:p>
    <w:p>
      <w:r>
        <w:rPr>
          <w:b/>
        </w:rPr>
        <w:t>E. 9</w:t>
      </w:r>
    </w:p>
    <w:p>
      <w:r>
        <w:t>Aus diesen Erwägungen ergibt sich, dass die angefochtene Verfügung Bundesrecht nicht verletzt, den rechtserheblichen Sachverhalt richtig und vollständig feststellt und angemessen ist (Art. 106 AsylG). Die Beschwerde ist somit abzuweisen, soweit darauf einzutreten ist.</w:t>
      </w:r>
    </w:p>
    <w:p>
      <w:r>
        <w:rPr>
          <w:b/>
        </w:rPr>
        <w:t>E. 10</w:t>
      </w:r>
    </w:p>
    <w:p>
      <w:r>
        <w:t>Mit vorliegendem Urteil ohne vorgängige Instruktion erweist sich das Gesuch um Verzicht auf die Erhebung eines Kostenvorschusses als gegen­standslos.</w:t>
      </w:r>
    </w:p>
    <w:p>
      <w:r>
        <w:rPr>
          <w:b/>
        </w:rPr>
        <w:t>E. 11.1</w:t>
      </w:r>
    </w:p>
    <w:p>
      <w:r>
        <w:t>Die Beschwerde ist aufgrund vorstehender Erwägungen als aussichtslos zu qualifizierten, weshalb das Gesuch um Gewährung der unentgeltlichen Rechtspflege im Sinne von Art. 65 Abs. 1 VwVG - ungeachtet der allfälligen Bedürftigkeit des Beschwerdeführers - abzuweisen ist.</w:t>
      </w:r>
    </w:p>
    <w:p>
      <w:r>
        <w:rPr>
          <w:b/>
        </w:rPr>
        <w:t>E. 11.2</w:t>
      </w:r>
    </w:p>
    <w:p>
      <w:r>
        <w:t>Bei diesem Ausgang des Verfahrens sind dessen Kosten von Fr. 600.- dem Beschwerdeführer aufzuerlegen (Art. 63 Abs. 1 und 5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