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D-214/2015 vom 14. Juni 2016</w:t>
      </w:r>
    </w:p>
    <w:p>
      <w:r>
        <w:t>Bundesverwaltungsgericht, 2016-06-14, DE</w:t>
      </w:r>
    </w:p>
    <w:p>
      <w:r>
        <w:rPr>
          <w:b/>
        </w:rPr>
        <w:t xml:space="preserve">Quelle: </w:t>
      </w:r>
      <w:r>
        <w:t>https://mcp.opencaselaw.ch/entscheid/bvger_D-214_2015</w:t>
      </w:r>
    </w:p>
    <w:p>
      <w:r>
        <w:t>FR: TAF D-214/2015 du 14 juin 2016</w:t>
      </w:r>
    </w:p>
    <w:p>
      <w:r>
        <w:t>IT: TAF D-214/2015 del 14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ist oder ob er zumindest als Flüchtlinge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Eltern des Beschwerdeführers haben am 28. April 2014 ebenfalls in der Schweiz um Asyl ersucht. Ihre Gesuche, die sie mit Nachteilen begründet haben, die sie aufgrund des politischen Engagements des Vaters des Beschwerdeführers in ihre Heimat erlitten hätten, wurden mit Verfügung des SEM vom 23. Juli 2015 abgewiesen. Die gegen diese Verfügung erhobene Beschwerde vom 22. August 2015 wies das Bundesverwaltungsgericht mit Urteil D-5100/2015 vom 14. Juni 2016 ab.</w:t>
      </w:r>
    </w:p>
    <w:p>
      <w:r>
        <w:rPr>
          <w:b/>
        </w:rPr>
        <w:t>E. 6.1</w:t>
      </w:r>
    </w:p>
    <w:p>
      <w:r>
        <w:t>Nach Prüfung der Akten durch das Bundesverwaltungsgericht ist in Übereinstimmung mit der Vorinstanz festzustellen, dass die Asylvorbringen des Beschwerdeführers im Zusammenhang mit der geltend gemachten Verfolgung seines Vaters in Syrien vor der Ausreise den Anforderungen an die Flüchtlingseigenschaft gemäss Art. 3 AsylG nicht standzuhalten vermögen, weshalb diesbezüglich vorab auf die zutreffenden Erwägungen der Vorinstanz in der angefochtenen Verfügung sowie im oben erwähnten Urteil D-5100/2015 vom 14. Juni 2016 zu verweisen ist. Der Rechtsmitteleingabe sind keine stichhaltigen Entgegnungen zu entnehmen, zumal der Beschwerdeführer im Wesentlichen Nachteile aufgrund der Verfolgung seines Vaters geltend macht und ausdrücklich festhält, er habe Syrien nicht in erster Linie wegen des Krieges verlassen. Auch die auf Beschwerdeebene eingereichte Bestätigung der Sicherheitsbehörde vermag zu keiner anderen Betrachtungsweise zu führen, da der Beweiswert dieses Dokumentes als gering einzuschätzen ist. So ist allgemein bekannt, dass Dokumente dieser Art ohne weiteres unrechtmässig erworben werden können. Um Wiederholungen zu vermeiden wird somit auf die zutreffenden Erwägungen im zitierten Urteil sowie in der angefochtenen Verfügung verwiesen. Zusammenfassend ist somit festzustellen, dass der Beschwerdeführer nicht glaubhaft geltend machen konnte, dass er vor seiner Ausreise wegen seines als Regimegegner registrierten Vaters verfolgt wurde.</w:t>
      </w:r>
    </w:p>
    <w:p>
      <w:r>
        <w:rPr>
          <w:b/>
        </w:rPr>
        <w:t>E. 6.2</w:t>
      </w:r>
    </w:p>
    <w:p>
      <w:r>
        <w:t>Somit ergibt sich, dass keine asylrechtlich relevanten Verfolgungsgründe ersichtlich sind, weshalb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8.2</w:t>
      </w:r>
    </w:p>
    <w:p>
      <w:r>
        <w:t>Die Vorinstanz hat in der angefochtenen Verfügung den Vollzug der Wegweisung wegen Unzumutbarkeit zugunsten einer vorläufigen Aufnahme aufgeschoben, weshalb sich an dieser Stelle weitere Ausführungen erübrigen.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