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D-2146/2010 vom 19. Juni 2012</w:t>
      </w:r>
    </w:p>
    <w:p>
      <w:r>
        <w:t>Bundesverwaltungsgericht, 2012-06-19, DE</w:t>
      </w:r>
    </w:p>
    <w:p>
      <w:r>
        <w:rPr>
          <w:b/>
        </w:rPr>
        <w:t xml:space="preserve">Quelle: </w:t>
      </w:r>
      <w:r>
        <w:t>https://mcp.opencaselaw.ch/entscheid/bvger_D-2146_2010</w:t>
      </w:r>
    </w:p>
    <w:p>
      <w:r>
        <w:t>FR: TAF D-2146/2010 du 19 juin 2012</w:t>
      </w:r>
    </w:p>
    <w:p>
      <w:r>
        <w:t>IT: TAF D-2146/2010 del 19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mit der Begründung ab, seine Vorbringen hielten den Anforderungen an die Flüchtlingseigenschaft gemäss Art. 3 AsylG nicht stand. Im Wesentlichen führte es aus, Übergriffe durch Dritte oder Befürchtungen, künftig solchen ausgesetzt zu sein, seien nur dann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Antragssteller Zugang zu diesem Schutz hätten. Das BFM erklärte, der Beschwerdeführer führe an, er sei von unbekannten Kriminellen entführt worden. Diese hätten ihn nach der Bezahlung eines Lösegeldes nach einem Monat und zehn Tagen wieder freigelassen. Bei der geltend gemachten Entführung handle es sich um eine kriminelle Handlung privater Drittpersonen, für welche die staatlichen Behörden nicht verantwortlich gemacht werden könnten. Der Beschwerdeführer habe die Möglichkeit, diese Straftat bei den Behörden anzuzeigen, was er gemäss seinen Angaben bei der Befragung zur Person jedoch nicht getan habe. Deshalb könne nicht von einer Unterlassung der Schutzpflicht der staatlichen Behörden gesprochen werden. Vielmehr sei davon auszugehen, dass diese in Kabul ihrer Schutzpflicht nachkämen. Es sei ihnen jedoch nicht möglich, jeden Übergriff Dritter zu ahnden. Daher komme den Asylvorbringen des Beschwerdeführers keine Asylrelevanz zu. Angesichts der fehlenden Asylrelevanz erübrige es sich, auf die in den Vorbringen bestehenden Ungereimtheiten einzugehen.</w:t>
      </w:r>
    </w:p>
    <w:p>
      <w:r>
        <w:rPr>
          <w:b/>
        </w:rPr>
        <w:t>E. 4.2</w:t>
      </w:r>
    </w:p>
    <w:p>
      <w:r>
        <w:t>In seiner Rechtsmitteleingabe legt der Beschwerdeführer im Wesentli­chen noch einmal den geltend gemachten Sachverhalt dar. Ausserdem erklärt er, aufgrund der Geschehnisse in seinem Heimatstaat habe er relevante Verfolgung im Sinne des Asylgesetzes erlitten. Die Entführung durch unbekannte Kriminelle, der über einmonatige Freiheitsentzug, die erlittenen Drohungen und Schläge sowie die Todesangst, nicht zu überleben, seien als ernsthafte Nachteile zu qualifizieren. Das BFM bestreite dies in seinem Entscheid zwar nicht, weise aber darauf hin, dass solche nur dann asylrelevant seien, wenn sie nicht durch Dritte erfolgten und wenn der Staat willens und fähig sei, Schutz anzubieten. In seinem Fall halte ihm das BFM vor, er hätte die Möglichkeit gehabt, die gegen ihn ver­übte Straftat bei den Behörden anzuzeigen. Deshalb könne nicht von einer Unterlassung der Schutzpflicht der staatlichen Behörden gesprochen werden. Vielmehr sei davon auszugehen, dass diese in Kabul ihrer Schutzpflicht nachkämen. Diese Auffassung verkenne hingegen die Realität in Afghanistan und auch in Kabul komplett. Bezüglich der effektiven Schutzgewährung sowie Schutzfähigkeit der afghanischen Sicherheitskräfte verweist der Beschwerdeführer auf Berichte der Schweizerischen Flüchtlingshilfe (SFH), des Center für Strategic &amp; International Studies (CSIS) und Human Rights Watch (HRW), wonach weder die afghanische Nationalarmee noch die afghanische Polizei in der Lage seien, unabhängig komplexere Operationen durchzuführen. Beide seien in Bezug auf Führung, Logistik und Luftunterstützung noch immer abhängig von Nato-Truppen. Betreffend die afghanische Polizei führt der Beschwerdeführer beispielsweise aus, dass die weit verbreitete Korruption dazu führe, dass die afghanische Polizei oft als die "grösste Quelle der Unsicherheit" im Land bezeichnet werde. Gemäss Einschätzung von HRW sei die afghanische Polizei weitgehend unfähig oder unwillig, gegen die stark angestiegenen Entführungen anzukämpfen. Deshalb sei kaum davon auszugehen, dass die Polizei ihm persönlich hätte Schutz bieten können und wollen bzw. dass sie Strafermittlungen gegen die unbekannte Täterschaft aufgenommen hätte. Im Übrigen hätte er sich dabei zusätzlicher Gefahr ausgesetzt und mit noch weit Schlimmerem rechnen müssen. In Afghani­stan und auch in Kabul komme es nämlich fast täglich zu Entführungen. Gemäss Lagebericht der SFH habe gerade die Entführung reicher Afghanen durch kriminelle und regierungsfeindliche Gruppierungen seit dem Jahre 2008 rapide zugenommen. Speziell betroffen seien auch Rückkehrer, da Entführer oft vermuteten, dass diese über viel Geld verfügten. Dass er also als Sohn eines Wechselstubenbesitzers Opfer einer Entführung geworden sei, erstaune deshalb kaum und bestätige die zahlreichen Lageberichte. Seine Furcht, dass ihm auch zukünftig Gleiches widerfahren könnte, sei demzufolge sowohl subjektiv als auch objektiv begründet und somit asylrelevant. Somit seien entgegen der Ansicht der Vorinstanz seine Vorbringen sehr wohl asylbeachtlich und seine Flüchtlingseigenschaft erfüllt.</w:t>
      </w:r>
    </w:p>
    <w:p>
      <w:r>
        <w:rPr>
          <w:b/>
        </w:rPr>
        <w:t>E. 4.3</w:t>
      </w:r>
    </w:p>
    <w:p>
      <w:r>
        <w:t>Das Bundesverwaltungsgericht verkennt nicht, dass es in Afghanistan zu vielen Entführungen kommt und man nicht von einer grundsätzlichen Schutzfähigkeit bzw. Schutzwilligkeit des Staates ausgehen kann. So hält es in seinem Grundsatzurteil BVGE 2011/7 zu Afghanistan fest, dass insbesondere bei Entführungen, deren Zahl im Vergleich zu den vergangenen Jahren stark angestiegen sei, die kriminellen Banden mit den Aufständischen und oftmals auch mit korrupten Polizisten zusammenarbeiteten. Die afghanische Polizei erweise sich bisher als unfähig oder nicht willens, die Zahl der Entführungen einzudämmen und wirksam gegen diese Art von organisierter Kriminalität vorzugehen (vgl. a.a.O. E. 9.5.3.). Nach Prüfung der Akten und unter Berücksichtigung obengenannter Feststellungen erscheint es gut möglich, dass der Beschwerdeführer als Sohn reicher Eltern Opfer eines Entführungsdeliktes durch eine kriminelle Gruppierung geworden ist.</w:t>
      </w:r>
    </w:p>
    <w:p>
      <w:r>
        <w:rPr>
          <w:b/>
        </w:rPr>
        <w:t>E. 4.4</w:t>
      </w:r>
    </w:p>
    <w:p>
      <w:r>
        <w:t>Eine Verfolgung durch nichtstaatliche Akteure - wie in casu geltend gemacht - kann grundsätzlich flüchtlingsrechtlich relevant sein, wenn es der betroffenen Person nicht möglich ist, davor im Heimatstaat adäquaten Schutz zu finden (vgl. Entscheidungen und Mitteilungen der [vormaligen] Schweizerischen Asylrekurskommission [EMARK] 2006 Nr. 18). Unabhängig von der Frage, ob der Beschwerdeführer in diesem Sinne begründete Furcht vor einer weiteren Entführung bzw. vor Verfolgung durch unbekannte Kriminelle hat, hängt die Flüchtlingseigenschaft jedoch davon ab, ob der geltend gemachten Verfolgung ein flüchtlingsrechtlich relevantes Motiv gemäss Art. 3 Abs. 1 AsylG (Rasse, Religion, Nationalität, Zuge­hörigkeit zu einer bestimmten sozialen Gruppe, politische Anschauungen) zugrunde liegt. Flüchtlingsrechtlich relevant wird eine Verfolgung erst dann, wenn sie wegen eines in der Person liegenden Merkmals, das untrennbar mit ihr oder ihrer Persönlichkeit verbunden ist, erfolgt, mithin in diskriminierender Weise an ein persönliches Merkmal, das sie "andersartig" macht, anknüpft.</w:t>
      </w:r>
    </w:p>
    <w:p>
      <w:r>
        <w:rPr>
          <w:b/>
        </w:rPr>
        <w:t>E. 4.5</w:t>
      </w:r>
    </w:p>
    <w:p>
      <w:r>
        <w:t>Vorliegend ist hinsichtlich der Frage, ob ein flüchtlingsrechtlich relevantes Verfolgungsmotiv gegeben ist, unbestritten, dass der Beschwerdeführer nicht wegen seiner Rasse, seiner Religion oder seiner Nationalität einer Gefährdung ausgesetzt ist. Auch das Kriterium der "Zugehörigkeit zu einer bestimmten sozialen Gruppe" ist vorliegend nicht erfüllt. Der Beschwerdeführer gab nämlich an, lediglich aus finanziellen Gründen (aufgrund des Vermögens seines Vaters) entführt worden zu sein. Schliesslich ist auch das Verfolgungsmotiv der "politischen Anschauungen" zu verneinen, da der Beschwerdeführer auch in dieser Hinsicht nichts vorge­bracht hat. Es liegt somit kein Verfolgungsmotiv im Sinne von Art. 3 Abs. 1 AsylG vor. Daher erübrigt es sich, auf die Frage nach der Schutzfähigkeit und der Schutzwilligkeit des Heimatstaates des Beschwerdeführers weiter einzugehen.</w:t>
      </w:r>
    </w:p>
    <w:p>
      <w:r>
        <w:rPr>
          <w:b/>
        </w:rPr>
        <w:t>E. 4.6</w:t>
      </w:r>
    </w:p>
    <w:p>
      <w:r>
        <w:t>Der Beschwerdeführer erfüllt damit die Flüchtlingseigenschaft gemäss Art. 3 AsylG nicht, weshalb das Bundesamt das Asylgesuch zu Recht abgelehnt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6.1.1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einen Drittstaat entgegenstehen (Art. 83 Abs. 3 AuG).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w:t>
      </w:r>
    </w:p>
    <w:p>
      <w:r>
        <w:rPr>
          <w:b/>
        </w:rPr>
        <w:t>E. 6.3.2</w:t>
      </w:r>
    </w:p>
    <w:p>
      <w:r>
        <w:t>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6.3.3</w:t>
      </w:r>
    </w:p>
    <w:p>
      <w:r>
        <w:t>Der Beschwerdeführer macht in diesem Zusammenhang geltend, er sei in seinem Heimatstaat zwecks einer Lösegeldforderung durch eine kriminelle Gruppe entführt und geschlagen worden. Nachdem sein Vater das Lösegeld bezahlt habe, hätten sie ihn freigelassen. Bei einer Rückkehr nach Kabul befürchte er, erneut entführt zu werden. Er könne sich vorstellen, dass ihm die Entführer etwas antun wollten, weil er sie gesehen habe und identifizieren könnte.</w:t>
      </w:r>
    </w:p>
    <w:p>
      <w:r>
        <w:rPr>
          <w:b/>
        </w:rPr>
        <w:t>E. 6.3.4</w:t>
      </w:r>
    </w:p>
    <w:p>
      <w:r>
        <w:t>Ein für den Beschwerdeführer diesbezüglich bestehendes Risiko ist aufgrund der Aktenlage nicht als dermassen konkret einzuschätzen, dass es als "real risk" im Sinne von Art. 3 EMRK (vgl. EMARK 2000 Nr. 26, EMARK 2002 Nr. 22) zu qualifizieren wäre.</w:t>
      </w:r>
    </w:p>
    <w:p>
      <w:r>
        <w:rPr>
          <w:b/>
        </w:rPr>
        <w:t>E. 6.3.5</w:t>
      </w:r>
    </w:p>
    <w:p>
      <w:r>
        <w:t>Der Beschwerdeführer erklärte anlässlich der Erstbefragung und der einlässlichen Anhörung durch das BFM, dass ihn die Entführer nach der Bezahlung des Lösegelds freigelassen hätten, obwohl er sie während der fünf bis sechs Wochen, die sie ihn festgehalten hätten, unmaskiert gesehen habe. Wäre dies für die Entführer ein ernsthaftes Problem gewe­sen, hätten sie ihn vermutlich nicht erst freigelassen, um ihn zu einem späteren Zeitpunkt erneut entführen und ihm etwas antun zu wollen. Dieses Szenario ist deshalb eher als unwahrscheinlich zu qualifizieren. Zudem erklärte der Beschwerdeführer selber, es gäbe keine Hinweise auf eine geplante weitere Entführung. Seiner Meinung nach besteht das Risiko einer zweiten Entführung lediglich darin, dass es schon Fälle gegeben habe, wo jemand zwei Mal entführt worden sei (vgl. A1/10, S. 6 f.).</w:t>
      </w:r>
    </w:p>
    <w:p>
      <w:r>
        <w:rPr>
          <w:b/>
        </w:rPr>
        <w:t>E. 6.3.6</w:t>
      </w:r>
    </w:p>
    <w:p>
      <w:r>
        <w:t>Wie bereits festgestellt, hat die Zahl der Entführungen in Afghanistan in den letzten Jahren stark zugekommen. Das Bundesverwaltungsgericht bezweifelt auch nicht, dass der Beschwerdeführer vor seiner Ausreise Opfer einer Entführung wurde. Aufgrund der schlechten Sicherheitslage in seinem Heimatstaat ist es nicht völlig auszuschliessen, dass der Be­schwerdeführer erneut von Kriminellen entführt werden könnte. Er kann jedoch nicht nachweisen oder glaubhaft machen, dass eine individuell konkrete Gefahr besteht, dass er bei einer Rückkehr nach Afghanistan mit beachtlicher Wahrscheinlichkeit einer nach Art. 3 EMRK oder Art. 1 FoK verbotenen Strafe oder Behandlung ausgesetzt wäre.</w:t>
      </w:r>
    </w:p>
    <w:p>
      <w:r>
        <w:rPr>
          <w:b/>
        </w:rPr>
        <w:t>E. 6.3.7</w:t>
      </w:r>
    </w:p>
    <w:p>
      <w:r>
        <w:t>An dieser Einschätzung kann auch die vom Beschwerdeführer geltend gemachte Ermordung seines Onkels nichts ändern. Die eingereichten Fotos und Dokumente - zumal diese ohnehin lediglich in Kopie vorlie­gen - können nicht belegen, dass es sich überhaupt um einen Verwandten des Beschwerdeführers handelt, weshalb dieser starb und wie dieser Vorfall konkret mit einer möglichen Gefährdung des Beschwerdeführers im Zusammenhang stehen soll. Dass sein Onkel offenbar hätte entführt werden sollen, ist lediglich eine Vermutung des Beschwerdeführers, die er nicht belegen oder glaubhaft machen kann.</w:t>
      </w:r>
    </w:p>
    <w:p>
      <w:r>
        <w:rPr>
          <w:b/>
        </w:rPr>
        <w:t>E. 6.3.8</w:t>
      </w:r>
    </w:p>
    <w:p>
      <w:r>
        <w:t>Auch die allgemeine Menschenrechtssituation in Kabul - wohin der Beschwerdeführer wie nachfolgend dargelegt zurückkehren kann - lässt den Wegweisungsvollzug zum heutigen Zeitpunkt nicht als generell unzulässig erscheinen. Dies ergibt sich unter anderem aus BVGE 2011/7.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Im erwähnten BVGE 2011/7 skizziert das Bundesverwaltungsgericht ein äusserst düsteres Bild der aktuellen Lage in Afghanistan, und zwar über alle Regionen hinweg. Das Gericht kommt zum Schluss, dass in weiten Teilen Afghanistans - ausser allenfalls in den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 das heisst winterfeste und mit minimaler sanitärer Einrichtung ausgestattete -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Im Übrigen betone auch der schweizeri­sche Botschafter in Islamabad die vorrangige Bedeutung eines tragfähigen sozialen Netzes für einen Rückkehrer zur Vermeidung unüber­brückbarer Schwierigkeiten (vgl. E. 9.3 ff.).</w:t>
      </w:r>
    </w:p>
    <w:p>
      <w:r>
        <w:rPr>
          <w:b/>
        </w:rPr>
        <w:t>E. 6.4.3</w:t>
      </w:r>
    </w:p>
    <w:p>
      <w:r>
        <w:t>Der Beschwerdeführer stammt den Akten zufolge aus einer vermögenden Familie in Kabul. Er gab an, sein Vater besitze dort eine Wechsel­stube, in der er bis zu seiner Ausreise ebenfalls (gelegentlich) gearbeitet habe (vgl. A1/10, S. 2). Anlässlich der Erstbefragung und der einlässlichen Anhörung durch das BFM gab der Beschwerdeführer an, seine Familie (Eltern und zwei Geschwister) wohne (vermutlich) nach wie vor in Kabul (vgl. A1/10, S. 2 und A12/13, S. 3). In seiner ergänzenden Vernehmlassung erklärte das BFM, eine Wegweisung des Beschwerdeführers nach Kabul, wo seine Familie lebe, sei auch in Würdigung der neuen Praxis des Bundesverwaltungsgerichts als zumutbar zu erachten. Nachdem ihm diese Vernehmlassung zur Kenntnisnahme zugestellt worden war, brachte der Beschwerdeführer vor, mittlerweile hätten seine Eltern und beide Geschwister Kabul aus Sicherheitsgründen verlassen, weshalb er dort bei einer Rückkehr über keine Kernfamilie mehr verfügen würde. Dieses Vorbringen ist nicht nur nachgeschoben, sondern auch sehr vage gehalten und nicht weiter belegt. Aus diesen Gründen besteht kein Anlass zur Annahme, die Familie des Beschwerdeführers habe ihren Herkunftsort Kabul verlassen. Doch selbst wenn die Kernfamilie des Beschwerdeführers nicht mehr in Kabul leben sollte, ist davon auszugehen, dass in Kabul weitere Familienangehörige des Beschwerdeführers leben, nicht zuletzt vermutlich der Onkel, der ihm per E-Mail Dokumente geschickt ha­ben soll. Zudem dürfte der Beschwerdeführer, nachdem er bis zur Ausreise sein ganzes Leben in Kabul verbracht hatte, neben dem familiären auch über ein soziales Beziehungsnetz verfügen. Im Weiteren verfügt der Beschwerdeführer über eine fundierte zwölfjährige Schulbildung (vgl. A1/10, S. 2) und Arbeitserfahrung als Geldwechsler. Schliesslich bleibt anzufügen, dass der Beschwerdeführer jung ist und offenbar nicht an gra­vierenden behandlungsbedürftigen Krankhei­ten leidet. Nach dem Gesagten erweist sich der Vollzug der Wegweisung nach Kabul auch in Anbetracht der geschilderten Situation in der Hauptstadt im vorliegenden Einzelfall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In seiner Beschwerde vom 1. April 2010 beantragte der Beschwerdeführer, es sei ihm die unentgeltliche Rechtspflege zu gewähren. In der Instruktionsverfügung vom 8. April 2010 wurde der Entscheid über dieses Gesuch auf einen späteren Zeitpunkt verschoben. Darauf ist nun zurückzukommen. Gemäss Art. 65 Abs. 1 VwVG wird eine Partei, die nicht über die erforderlichen Mittel verfügt, auf Antrag hin von der Bezahlung der Verfahrenskosten befreit, wenn ihr Begehren im Zeitpunkt der Gesuchs­einreichung nicht aussichtslos erscheint. Gemäss Bestätigung vom 23. März 2010 war der Beschwerdeführer zum Zeitpunkt der Einreichung der Beschwerde noch fürsorgeabhängig. Aus den Akten geht hervor, dass er seit September 2010 erwerbstätig ist. Deshalb ist davon auszugehen, dass der Beschwerdeführer zum heutigen Zeitpunkt nicht mehr prozessual bedürftig ist. Das Gesuch um Gewährung der unentgeltlichen Rechtspflege gemäss Art. 65 Abs. 1 VwVG ist daher abzuweisen.</w:t>
      </w:r>
    </w:p>
    <w:p>
      <w:r>
        <w:rPr>
          <w:b/>
        </w:rPr>
        <w:t>E. 9</w:t>
      </w:r>
    </w:p>
    <w:p>
      <w:r>
        <w:t>Somit sind bei diesem Ausgang des Verfahrens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