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D-213/2025 vom 10. Dezember 2024</w:t>
      </w:r>
    </w:p>
    <w:p>
      <w:r>
        <w:t>Bundesverwaltungsgericht, 2024-12-10, DE</w:t>
      </w:r>
    </w:p>
    <w:p>
      <w:r>
        <w:rPr>
          <w:b/>
        </w:rPr>
        <w:t xml:space="preserve">Quelle: </w:t>
      </w:r>
      <w:r>
        <w:t>https://mcp.opencaselaw.ch/entscheid/bvger_D-213_2025_d20241210</w:t>
      </w:r>
    </w:p>
    <w:p>
      <w:r>
        <w:t>FR: TAF D-213/2025 du 10 décembre 2024</w:t>
      </w:r>
    </w:p>
    <w:p>
      <w:r>
        <w:t>IT: TAF D-213/2025 del 10 dicembre 2024</w:t>
      </w:r>
    </w:p>
    <w:p>
      <w:pPr>
        <w:pStyle w:val="Heading2"/>
      </w:pPr>
      <w:r>
        <w:t>Regeste</w:t>
      </w:r>
    </w:p>
    <w:p>
      <w:r>
        <w:t>Asyl und Wegweisung (Mehrfachgesuch/Wiedererw&amp;auml;gung) | Asyl und Wegweisung (Mehrfachgesuch); Verfügung des SEM vom 10. Dezember 2024</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105 und Art. 108 Abs. 6 AsylG und Art. 52 Abs. 1 VwVG). Die Beschwerdefüh- renden haben am Verfahren vor der Vorinstanz teilgenommen, sind durch die angefochtene Verfügung besonders berührt und haben ein schutzwür- diges Interesse an deren Aufhebung beziehungsweise Änderung. Sie sind daher zur Einreichung der Beschwerde legitimiert (Art. 48 Abs. 1 VwVG). Schliesslich beglichen die Beschwerdeführenden den Kostenvorschuss fristgerecht.</w:t>
      </w:r>
    </w:p>
    <w:p>
      <w:r>
        <w:rPr>
          <w:b/>
        </w:rPr>
        <w:t>E. 1.4</w:t>
      </w:r>
    </w:p>
    <w:p>
      <w:r>
        <w:t>Auf die Beschwerde ist folglich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w:t>
      </w:r>
    </w:p>
    <w:p>
      <w:r>
        <w:t>D-213/2025 Seite 5 weshalb das Urteil nur summarisch zu begründen ist. Auf einen Schriften- wechsel wurde verzichtet (Art. 111a Abs. 1 und 2 AsylG).</w:t>
      </w:r>
    </w:p>
    <w:p>
      <w:r>
        <w:rPr>
          <w:b/>
        </w:rPr>
        <w:t>E. 4</w:t>
      </w:r>
    </w:p>
    <w:p>
      <w:r>
        <w:t>Der subeventualiter gestellte Antrag, die Sache sei zur Neubeurteilung an die Vorinstanz zurückzuweisen (vgl. Ziff. 5 der Beschwerdeanträge), wird nicht begründet. Es ist sodann auch nicht ersichtlich, inwiefern die ange- fochtene Verfügung an formellen Mängeln leiden sollte. Zudem ist der Sachverhalt spruchreif. Der Kassationsantrag erweist sich damit als unbe- 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Das SEM führte zur Begründung seines Entscheids im Asylpunkt aus, die Vorbringen der Beschwerdeführenden hielten den Anforderungen an die Flüchtlingseigenschaft gemäss Art. 3 AsylG nicht stand. Es könne folg- lich offenbleiben, ob es sich bei den eingereichten Strafakten zum angeb- lich gegen den Beschwerdeführer eingeleiteten Verfahren wegen Propa- ganda für eine Terrororganisation um echte Verfahrensdokumente handle, auch wenn solche Dokumente vor dem Hintergrund, dass sie leicht fälsch- bar und «echte» Dokumente leicht käuflich erwerbbar seien, ohnehin einen geringen Beweiswert aufweisen würden. Die eingereichten Strafakten wür- den zeigen, dass gegen den Beschwerdeführer ein Ermittlungsverfahren</w:t>
      </w:r>
    </w:p>
    <w:p>
      <w:r>
        <w:t>D-213/2025 Seite 6 wegen Propaganda für eine Terrororganisation gemäss Art. 7 Abs. 2 ATG eingeleitet worden sei und ein Vorführbefehl vorliege. Es sei indessen (noch) kein Gerichtsverfahren eröffnet worden. In der Türkei würden Er- mittlungsverfahren oft in teils hoher Zahl eingeleitet, häufig aber auch wie- der eingestellt. Es sei folglich offen, ob die Ermittlungen gegen den Be- schwerdeführer in absehbarer Zeit zur Eröffnung eines Gerichtsverfahrens oder einer späteren Verurteilung aus einem flüchtlingsrechtlich relevanten Motiv führen würden. Zudem handle es sich beim geltend gemachten Vor- führbefehl nicht um einen Haftbefehl. Weiter spreche die Aktenlage dafür, dass der Beschwerdeführer die Strafverfolgung bewusst eingeleitet habe, um subjektive Nachfluchtgründe zu begründen. Eine solche Vorgehens- weise sei als rechtsmissbräuchlich zu werten. Es sei davon auszugehen, dass er gegebenenfalls auch in der Lage sei, allfällig drohende Nachteile auf geeignetem Wege abzuwenden. Der Umstand, dass er einfaches Par- teimitglied der (legalen) HDP gewesen sei, führe nicht zu einer relevanten Schärfung seines politischen Profils, die eine andere Einschätzung recht- fertigen würde. Seine Behauptung, er nehme in der Schweiz an regierungs- kritischen Demonstrationen teil, werde sodann weder substantiiert darge- legt noch mit Beweismitteln belegt, so dass dieses Vorbringen nicht glaub- haft sei. Selbst bei unterstellter Glaubhaftigkeit rechtfertige die blosse Teil- nahme an Demonstrationen aber nicht die Annahme, dass er in den Fokus der türkischen Behörden geraten sei. Insgesamt habe er bei einer Rück- kehr in Türkei nicht mit erheblicher Wahrscheinlichkeit und in absehbarer Zeit eine flüchtlingsrechtlich relevante Verfolgung zu befürchten.</w:t>
      </w:r>
    </w:p>
    <w:p>
      <w:r>
        <w:rPr>
          <w:b/>
        </w:rPr>
        <w:t>E. 6.2</w:t>
      </w:r>
    </w:p>
    <w:p>
      <w:r>
        <w:t>In der Beschwerde wird entgegnet, die Ermittlungsakten seien aus dem Anwalts-UYAP heruntergeladen worden und einige Dokumente seien mit einem QR-Code versehen, weshalb ihre Echtheit überprüfbar sei. Das SEM müsse Beweise gegen die Echtheit der Dokumente darlegen, an- sonsten seien die diesbezüglichen Vorhalte des SEM unbegründet. Weiter würden in der Türkei nur sehr wenige strafrechtliche Ermittlungen wegen des Tatvorwurfs Propaganda für eine Terrororganisation durch Beiträge in den sozialen Medien eingestellt. Nahezu 100% dieser strafrechtlichen Er- mittlungen würden zu Strafverfahren und fast alle dieser Strafverfahren zu Verurteilungen führen. Es gebe keinen einzigen stichhaltigen Beweis und keine einzige offizielle Statistik, die das Gegenteil beweisen könne und eine solche lege das SEM auch nicht vor. Bei Personen, gegen die straf- rechtlich ermittelt werde, die politisch aktiv seien oder die einen politischen familiären Hintergrund hätten wie der Beschwerdeführer, sei die Wahr- scheinlichkeit einer Verurteilung wesentlich höher. Ein faires Urteil könne nicht erwartet werden. Der vorliegende Vorführbefehl komme einem</w:t>
      </w:r>
    </w:p>
    <w:p>
      <w:r>
        <w:t>D-213/2025 Seite 7 Haftbefehl gleich, da in der Praxis viele Personen nach der Einvernahme verhaftet würden. Überdies kenne der Beschwerdeführer die Person, die ihn in der Türkei angezeigt habe, nicht. Weiter zeige das Profil des Be- schwerdeführers auf der Plattform X, dass er ein Aktivist sei, der für die Rechte der Kurden kämpfe. Die Tatsache, dass er Fotos von Abdullah Öcalan in den sozialen Medien gepostet und seine Freilassung aus dem Gefängnis gefordert habe, könne nicht als provokatives Verhalten gewertet werden. Zudem bedeute das, was die Vorinstanz als "gewisse Unannehm- lichkeiten" bezeichne, für den Betroffenen Inhaftierung, Misshandlung und Folter. Eine solche Bagatellisierung sei inakzeptabel. Auch wenn jeder Kurde, der die Haltung der türkischen Regierung gegenüber den Kurden kritisiere, wisse, dass er mit grosser Ungerechtigkeit und Verfolgung zu rechnen habe, könne dies aber keinesfalls die Wegweisung in die Türkei rechtfertigen. Zudem habe er als Angehöriger der HDP ein Gefährdungs- profil. Insgesamt müsse der Beschwerdeführer mit hoher Wahrscheinlich- keit mit einer Verurteilung und einer unbedingten Gefängnisstrafe rechnen, wo er schweren Menschenrechtsverletzungen, darunter auch Folter, aus- gesetzt wäre. Überdies sei er auch anderweitig exilpolitisch tätig, weshalb er auch deswegen sehr wahrscheinlich am Flughafen verhaftet, inhaftiert, gefoltert und zu einer hohen Geldstrafe verurteilt werde.</w:t>
      </w:r>
    </w:p>
    <w:p>
      <w:r>
        <w:rPr>
          <w:b/>
        </w:rPr>
        <w:t>E. 7.1</w:t>
      </w:r>
    </w:p>
    <w:p>
      <w:r>
        <w:t>Die von den Beschwerdeführenden vorgelegten Auszüge türkischer Strafakten belegen bei Annahme ihrer Echtheit einzig, dass ein staatsan- waltschaftliches Ermittlungsverfahren wegen Propaganda für eine terroris- tische Organisation nach Art. 7 Abs. 2 ATG gegen den Beschwerdeführer hängig ist. Gemäss Rechtsprechung des Bundesverwaltungsgerichts reicht allein die Tatsache, dass ein solches Ermittlungsverfahren eröffnet worden und hängig ist, für die Anerkennung der Flüchtlingseigenschaft nicht aus (vgl. Koordinationsurteil E-4103/2024 vom 8. November 2024, E. 8 m.w.H). Auch im Falle des Beschwerdeführers dürfte die Wahrschein- lichkeit, dass das Ermittlungsverfahren in ein strafrechtliches Gerichtsver- fahren mündet und er verurteilt wird, tief sein. So verfügt er – auch unter Berücksichtigung seiner angeblichen Teilnahmen an Veranstaltungen der HDP als deren Mitglied vor seiner Ausreise – über kein politisch auffälliges Profil, zumal er im ersten Asylverfahren dargelegt hat, er habe sich, vor dem Hintergrund der befürchteten Blutrache durch private Dritte, medial nicht blicken lassen (vgl. act. SEM 1294052-22/10 F64). Zudem ist er straf- rechtlich unbescholten. Weiter vermitteln seine Beiträge in den sozialen Medien, welche im eingereichten Open-Source-Ermittlungsbericht vom (…) enthaltenen sind, nicht den Eindruck eines ernstzunehmenden</w:t>
      </w:r>
    </w:p>
    <w:p>
      <w:r>
        <w:t>D-213/2025 Seite 8 politischen Aktivismus, da es sich lediglich um (…) unkommentierte Bilder mit wenigen Aufrufen handelt. Ausserdem bestehen keine Hinweise, wo- nach die türkischen Behörden überhaupt Kenntnis von seiner angeblichen – jedoch weitgehend unsubstantiiert gebliebenen – Beteiligung an politi- schen Veranstaltungen der kurdischen Diaspora in der Schweiz erlangt hätten. Entsprechend ist nicht davon auszugehen, dass er als Staatsfeind wahrgenommen wird. Schliesslich liegt gegen den Beschwerdeführer – wie das SEM zu Recht ausgeführt hat – kein Haftbefehl vor. Nach dem Gesag- ten ist die Furcht der Beschwerdeführenden, bei einer Rückkehr in die Tür- kei Nachteilen im Sinne des Art. 3 Abs. 2 AsylG ausgesetzt zu werden, objektiv nicht begründet.</w:t>
      </w:r>
    </w:p>
    <w:p>
      <w:r>
        <w:rPr>
          <w:b/>
        </w:rPr>
        <w:t>E. 7.2</w:t>
      </w:r>
    </w:p>
    <w:p>
      <w:r>
        <w:t>Vor dem Hintergrund, dass den Vorbringen der Beschwerdeführenden selbst bei Wahrunterstellung keine flüchtlingsrechtliche Relevanz zukom- men, kann die Frage der Glaubhaftigkeit offenbleiben. Zudem erübrigen sich Ausführungen zur Frage, ob der Beschwerdeführer gegebenenfalls die in der Türkei hängigen Ermittlungsverfahren bewusst – selber oder durch Hilfspersonen – eingeleitet hat, um in rechtsmissbräuchlicher Absicht sub- jektive Nachfluchtgründe zu begründen und einen Schutzstatus in der Schweiz zu erlangen.</w:t>
      </w:r>
    </w:p>
    <w:p>
      <w:r>
        <w:rPr>
          <w:b/>
        </w:rPr>
        <w:t>E. 7.3</w:t>
      </w:r>
    </w:p>
    <w:p>
      <w:r>
        <w:t>Nach dem Gesagten hat das SEM die Flüchtlingseigenschaft der Be- schwerdeführenden zu Recht verneint und ihre Mehrfachgesuche abge- lehnt.</w:t>
      </w:r>
    </w:p>
    <w:p>
      <w:r>
        <w:rPr>
          <w:b/>
        </w:rPr>
        <w:t>E. 8</w:t>
      </w:r>
    </w:p>
    <w:p>
      <w:r>
        <w:t>Lehnt das SEM das Asylgesuch (bzw. Mehrfachgesuch) ab oder tritt es da- rauf nicht ein, so verfügt es in der Regel die Wegweisung aus der Schweiz und ordnet den Vollzug an (Art. 44 AsylG). Die Beschwerdeführenden ver- fügen weder über eine ausländerrechtliche Aufenthaltsbewilligung noch über einen Anspruch auf Erteilung einer solchen, weshalb die Wegweisung zu Recht angeordnet wurde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 desverwaltungsgerichts der gleiche Beweisstandard wie bei der</w:t>
      </w:r>
    </w:p>
    <w:p>
      <w:r>
        <w:t>D-213/2025 Seite 9 Flüchtlingseigenschaft; das heisst, sie sind zu beweisen, wenn der strikte Beweis möglich ist, und andernfalls wenigstens glaubhaft zu machen (vgl. BVGE 2011/24 E. 10.2 m.w.H.).</w:t>
      </w:r>
    </w:p>
    <w:p>
      <w:r>
        <w:rPr>
          <w:b/>
        </w:rPr>
        <w:t>E. 9.2</w:t>
      </w:r>
    </w:p>
    <w:p>
      <w:r>
        <w:t>In der Beschwerde wird diesbezüglich geltend gemacht, die Wegwei- sung der Beschwerdeführenden in die Türkei sei aus dem im Asylpunkt Vorgebrachten auch nicht zumutbar. Zudem verletze der angefochtene Entscheid die Kinderrechte. Das minderjährige Kind sei knapp (…) Jahre alt. Die Verhaftung des Vaters, des Beschwerdeführers, in der Türkei könne sich negativ auf die Entwicklung und Gesundheit des Kindes auswirken.</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 es den Beschwerdeführenden nicht gelungen ist, eine asylrecht- lich erhebliche Gefährdung nachzuweisen oder glaubhaft zu machen, fin- det der in Art. 5 AsylG verankerte Grundsatz der Nichtrückschiebung keine Anwendung. Sodann ergeben sich aus den Akten keine Anhaltspunkte da- für, dass sie für den Fall einer Ausschaffung in die Türkei dort mit beachtli- cher Wahrscheinlichkeit einer nach Art. 3 EMRK oder Art. 1 FoK verbote- nen Strafe oder Behandlung ausgesetzt wären (vgl. Begründung im Asyl- punkt, oben E. 7). Der Vollzug der Wegweisung ist somit zulässig.</w:t>
      </w:r>
    </w:p>
    <w:p>
      <w:r>
        <w:rPr>
          <w:b/>
        </w:rPr>
        <w:t>E. 9.4.1</w:t>
      </w:r>
    </w:p>
    <w:p>
      <w:r>
        <w:t>Gemäss Art. 83 Abs. 4 AIG kann der Vollzug für Ausländerinnen und</w:t>
      </w:r>
    </w:p>
    <w:p>
      <w:r>
        <w:t>D-213/2025 Seite 10 Ausländer unzumutbar sein, wenn sie im Heimat- oder Herkunftsstaat auf- grund von Situationen wie Krieg, Bürgerkrieg, allgemeiner Gewalt und me- dizinischer Notlage konkret gefährdet sind.</w:t>
      </w:r>
    </w:p>
    <w:p>
      <w:r>
        <w:rPr>
          <w:b/>
        </w:rPr>
        <w:t>E. 9.4.2</w:t>
      </w:r>
    </w:p>
    <w:p>
      <w:r>
        <w:t>Wie bereits im ersten Asylverfahren ausführlich dargelegt wurde, sprechen weder allgemeine noch individuelle Gründe gegen die Zumutbar- keit des Wegweisungsvollzugs (vgl. Urteil des BVGer D-22/2024 vom 26. Februar 2024 E. 9.4). Insbesondere sind die Beschwerdeführenden jung, gesund und verfügen über gute Schulbildung. Zudem ist davon aus- zugehen, dass sie bei einer Rückkehr auf ihr bestehendes Familiennetz- werk zurückgreifen und ihre Arbeit wiederaufnehmen können. Ausserdem ist in Übereinstimmung mit dem SEM festzuhalten, dass der Wegweisungs- vollzug dem Kindeswohl nicht entgegensteht (vgl. zum Kindeswohl: BVGE 2009/51 E. 5.6). Namentlich ist nicht mit hinreichender Wahrscheinlichkeit mit der Verhaftung des Beschwerdeführers zu rechnen. Der Vollzug der Wegweisung erweist sich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Nach dem Gesagten hat das SEM den Vollzug der Wegweisung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renden aufzuerlegen (Art. 63 Abs. 1 VwVG) und auf insgesamt Fr. 2000.–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D-213/2025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