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D-2135/2018 vom 25. Oktober 2018</w:t>
      </w:r>
    </w:p>
    <w:p>
      <w:r>
        <w:t>Bundesverwaltungsgericht, 2018-10-25, DE</w:t>
      </w:r>
    </w:p>
    <w:p>
      <w:r>
        <w:rPr>
          <w:b/>
        </w:rPr>
        <w:t xml:space="preserve">Quelle: </w:t>
      </w:r>
      <w:r>
        <w:t>https://mcp.opencaselaw.ch/entscheid/bvger_D-2135_2018</w:t>
      </w:r>
    </w:p>
    <w:p>
      <w:r>
        <w:t>FR: TAF D-2135/2018 du 25 octobre 2018</w:t>
      </w:r>
    </w:p>
    <w:p>
      <w:r>
        <w:t>IT: TAF D-2135/2018 del 25 ottobre 2018</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Beschwerde, die im Verlauf des Verfahrens offensichtlich unbegründet geworden ist, weshalb der Entscheid nur summarisch zu begründen ist (Art. 111a Abs. 2 AsylG).</w:t>
      </w:r>
    </w:p>
    <w:p>
      <w:r>
        <w:rPr>
          <w:b/>
        </w:rPr>
        <w:t>E. 4</w:t>
      </w:r>
    </w:p>
    <w:p>
      <w:r>
        <w:t>Nach Art. 51 Abs. 1 AsylG werden - unter dem Titel Familienasyl - namentlich die Ehegatten und die minderjährigen Kinder von Flüchtlingen ihrerseits als Flüchtlinge anerkannt und erhalten Asyl in der Schweiz, wenn keine besonderen Umstände dagegen sprechen. Der Beschwerdeführer wurde vom SEM am 5. April 2006 als Flüchtling anerkannt. Am 27. Februar 2018 ersuchte seine Ehefrau um Einbezug in seine Flüchtlingseigenschaft. Am (...), mithin während des vorliegenden Beschwerdeverfahrens gegen den ablehnenden Entscheid des SEM, erwarb der Beschwerdeführer das Schweizerische Bürgerrecht.</w:t>
      </w:r>
    </w:p>
    <w:p>
      <w:r>
        <w:rPr>
          <w:b/>
        </w:rPr>
        <w:t>E. 5</w:t>
      </w:r>
    </w:p>
    <w:p>
      <w:r>
        <w:t>Gemäss Art. 1 Abschnitt C Ziff. 3 FK fällt eine Person nicht mehr unter das Abkommen vom 28. Juli 1951 über die Rechtsstellung der Flüchtlinge (FK, SR 0.142.30), wenn sie eine neue Staatsangehörigkeit erworben hat und den Schutz des Staates der neuen Staatsangehörigkeit geniesst. Dies ist bei Flüchtlingen, welche die Schweizer Staatsangehörigkeit erwerben, der Fall. Der Gesetzgeber hat mit Art. 64 Abs. 3 AsylG den spezifischen Fall des Erwerbs der Schweizer Staatsangehörigkeit explizit als Erlöschenstatbestand ausgestaltet. Bei einer Einbürgerung muss der Flüchtlingsstatus daher nicht mehr formal aufgehoben werden (vgl. BBl 2002 6845, 6891). Nachdem der Beschwerdeführer am (...) das Schweizer Bürgerrecht erworben hat, ist folglich gleichzeitig seine Flüchtlingseigenschaft erloschen.</w:t>
      </w:r>
    </w:p>
    <w:p>
      <w:r>
        <w:rPr>
          <w:b/>
        </w:rPr>
        <w:t>E. 6</w:t>
      </w:r>
    </w:p>
    <w:p>
      <w:r>
        <w:t>Der massgebliche Zeitpunkt zur Feststellung, ob die Voraussetzungen des Familienasyls erfüllt sind, ist grundsätzlich derjenige des Entscheids (vgl. EMARK 2002 Nr. 20 Erw. 5a). Einzig beim Einbezug minderjähriger Kinder in die Flüchtlingseigenschaft ist gemäss Rechtsprechung ausnahmsweise auf ihr Alter im Zeitpunkt der Einreise in die Schweiz abzustellen (vgl. EMARK 1996 Nr. 18 Erw. 14e). Es ist demnach für die Gewährung des Familienasyls auf die aktuelle Situation des Beschwerdeführers abzustellen. Nachdem der Beschwerdeführer zum Zeitpunkt des Urteils nicht (mehr) Flüchtling ist, mangelt es an einer Tatbestandsvoraussetzung im Sinne von Art. 51 Abs. 1 AsylG zum Einbezug seiner Ehefrau. Damit hat die Vorinstanz - zumindest im Ergebnis - zu Recht das Gesuch um Einbezug in die Flüchtlingseigenschaft abgelehnt. Es erübrigt sich damit, auf die Beschwerdevorbringen einzugehen. Es steht dem Beschwerdeführer frei, bei der zuständigen Ausländerbehörde seines Aufenthaltskantons für seine Frau ein Gesuch um Familiennachzug für Ehegatten von Schweizer Bürgern im Sinne von Art. 42 AuG (SR 142.20) zu stellen.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