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D-2133/2012 vom 4. Mai 2012</w:t>
      </w:r>
    </w:p>
    <w:p>
      <w:r>
        <w:t>Bundesverwaltungsgericht, 2012-05-04, DE</w:t>
      </w:r>
    </w:p>
    <w:p>
      <w:r>
        <w:rPr>
          <w:b/>
        </w:rPr>
        <w:t xml:space="preserve">Quelle: </w:t>
      </w:r>
      <w:r>
        <w:t>https://mcp.opencaselaw.ch/entscheid/bvger_D-2133_2012</w:t>
      </w:r>
    </w:p>
    <w:p>
      <w:r>
        <w:t>FR: TAF D-2133/2012 du 4 mai 2012</w:t>
      </w:r>
    </w:p>
    <w:p>
      <w:r>
        <w:t>IT: TAF D-2133/2012 del 4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 unter Vorbehalt der nachfolgenden Erwägungen - einzutreten.</w:t>
      </w:r>
    </w:p>
    <w:p>
      <w:r>
        <w:rPr>
          <w:b/>
        </w:rPr>
        <w:t>E. 1.4</w:t>
      </w:r>
    </w:p>
    <w:p>
      <w:r>
        <w:t>Das am (...) geborene Kind D._______ wird in das vorliegende Beschwerdeverfahren einbezogen.</w:t>
      </w:r>
    </w:p>
    <w:p>
      <w:r>
        <w:rPr>
          <w:b/>
        </w:rPr>
        <w:t>E. 1.5</w:t>
      </w:r>
    </w:p>
    <w:p>
      <w:r>
        <w:t>Das BFM hat in der angefochtenen Verfügung der Beschwerde die aufschiebende Wirkung nicht entzogen. Deshalb ist auf den in der Beschwerde gestellten (Eventual-)Antrag betreffend Wiederherstellung der aufschiebenden Wirkung der Beschwerde mangels Rechtsschutzinteresses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 zur Begründung seines Entscheides aus, dass Übergriffe durch Dritte oder Befürchtungen, künftig solchen ausgesetzt zu sein, nur dann asylrelevant seien,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 Die Beschwerdeführerin mache geltend, sie sei von einem Serben vergewaltigt worden. Ihren Sohn habe der Vergewaltiger mit dem Messer am Knöchel verletzt. Vereinzelte Übergriffe durch Drittpersonen auf Angehörige von Minderheiten könnten zwar nicht restlos ausgeschlossen werden. Der serbische Staat billige oder unterstütze solche Übergriffe jedoch nicht. Die im Sachverhalt dargelegten Vorfälle stellten auch in Serbien Tatbestände dar, die strafrechtlich verfolgt würden. Es könne zwar in einzelnen Fällen vorkommen, dass Behördenvertreter mit niedrigen Chargen die notwendigen Untersuchungsmassnahmen trotz wiederholten Intervenierens nicht einleiten würden. Es bestehe jedoch die Möglichkeit, gegen fehlbare Beamte auf dem Rechtsweg vorzugehen und die zustehenden Rechte bei höheren Instanzen einzufordern. Der serbische Staat sei bestrebt, Verfehlungen von Beamten zu ahnden. Hinzuzufügen sei in diesem Zusammenhang, dass es keinem Staat gelingen könne, die absolute Sicherheit all seiner Bürger und Bürgerinnen jederzeit und überall zu garantieren; vom Staat könne folglich keine faktische Garantie für langfristigen individuellen Schutz des von nichtstaatlicher Verfolgung Bedrohten verlangt werden. Erforderlich sei vielmehr, dass eine funktionierende und effiziente Schutzinfrastruktur zur Verfügung stehe, die den Betroffenen objektiv zugänglich sein müsse. Zudem müsse die Inanspruchnahme des Schutzsystems - eventuell verbunden mit einer Wohnsitzänderung - für die Betroffenen auch individuell zumutbar sein. Diese Voraussetzungen seien vorliegend klar gegeben. Aus den Akten gehe hervor, dass sich die Beschwerdeführenden nicht an die Behörden gewandt hätten. Da sie dies unterlassen hätten, sei den serbischen Behörden die Möglichkeit genommen worden, sie zu schützen. Somit ergäben sich im vorliegenden Fall keinerlei Hinweise auf eine Verweigerung staatlichen Schutzes. Es wäre den Beschwerdeführenden zudem zumutbar und möglich gewesen, sich für die Anzeige der Tat an einen anderen Polizeiposten oder an eine obere Instanz zu wenden, hätte der Täter tatsächlich durch seine Beziehungen eine Ahndung durch die lokale Polizei zu verhindern gewusst. Ihre Aussage, die Familie ihres Peinigers arbeite bei der Polizei, weshalb sie den Vorfall den Behörden nicht gemeldet hätten, sei folglich unbehelflich (vgl. dazu Urteil des Bundesverwaltungsgerichts D-915/2011 vom 16. Juni 2011). Da demnach vom Vorhandensein eines adäquaten Schutzes durch den Heimatstaat auszugehen sei, seien die geltend gemachten Übergriffe im vorliegenden Fall nicht asylrelevant. Weiter sei in diesem Zusammenhang festzuhalten, dass der Bundesrat mit Beschluss von 6. März 2009 Serbien als verfolgungssicheren Staat (safe country) im Sinne von Art. 6a Abs. 2 Bst. a AsylG bezeichnet habe. Zudem liege eine asylrelevante Verfolgung nicht vor, wenn staatliche Massnahmen rechtsstaatlich legitimen Zwecken dienten. Aus den Akten gehe hervor, dass der Beschwerdeführer Selbstjustiz geübt und den Peiniger mit einem Baseballschläger niedergeschlagen habe. Dabei handle es sich um ein strafrechtlich relevantes Verhalten. Es obliege folglich den serbischen Behörden, diese Verfehlung zu ahnden. Aufgrund der Aktenlage ergäben sich keine Hinweise darauf, dass pflichtgemäss eingeleiteten Untersuchungsmassnahmen eine asylbeachtliche Verfolgungsmotivation zugrunde liegen würden. Sodann solle nicht unerwähnt bleiben, dass gewisse Zweifel an den Vorbringen der Beschwerdeführenden angebracht seien. So sei das Motiv des Täters, die Beschwerdeführerin zu vergewaltigen, nicht nachvollziehbar, zumal vereinbart gewesen sei, dass der Beschwerdeführer die Schulden nach seiner Rückkehr von seinem auswärtigen Arbeitseinsatz begleiche. Der Peiniger hätte überdies damit rechnen müssen, dass der Vorfall in diesem kleinen serbischen Dorf, in welchem sich Täter und Opfer kennen würden und in einer Gläubiger-Schuldner-Beziehung gestanden seien, publik würde. Sein angeblich leichtfertiges Handeln müsse folglich seltsam anmuten. Des Weiteren habe die Beschwerdeführerin zu Protokoll gegeben, ihre Schwiegereltern seien nach ihrer Ausreise von X._______ - so heisse ihr Vergewaltiger - bedroht worden (vgl. A10, S. 11). Hingegen habe der Beschwerdeführer dargelegt, er wisse nicht, was mit X._______ geschehen sei, er könnte ihn umgebracht haben (vgl. A11, S. 5). Die Vorbringen der Beschwerdeführenden hielten somit den Anforderungen an die Flüchtlingseigenschaft gemäss Art. 3 AsylG nicht stand. Demzufolge erfüllten sie die Flüchtlingseigenschaft nicht, so dass ihre Asylgesuche abzulehnen seien.</w:t>
      </w:r>
    </w:p>
    <w:p>
      <w:r>
        <w:rPr>
          <w:b/>
        </w:rPr>
        <w:t>E. 5.2</w:t>
      </w:r>
    </w:p>
    <w:p>
      <w:r>
        <w:t>In ihrer Rechtsmitteleingabe vom 20. April 2012 bringen die Beschwerdeführenden vor, sie könnten nicht in ihre Heimat zurückkehren, da der Vergewaltiger der Beschwerdeführerin Polizist sei. Wenn sie sich betreffend den Vorfall an die serbischen Sicherheitsbehörden wenden würden, bekämen sie noch grössere Probleme. Dieser Polizist habe auch ihren Sohn C._______ am Auge und am Fuss verletzt und die Ehefrau des Beschwerdeführers vergewaltigt, obwohl diese dannzumal schwanger gewesen sei. Sie wolle ihrem Peiniger nicht wieder begegnen. Auch in der Schweiz habe sie nun Angst vor Männern. X._______ wohne im gleichen Dorf wie sie. Er sei sehr angesehen, der Beschwerdeführerin hingegen würde man überhaupt keinen Glauben schenken. Sie seien ethnische Roma. So könnten Roma-Kinder zwar offiziell in die Schule gehen, in der Realität sei das aber nicht so, weil sie schikaniert würden. Der Beschwerdeführer habe den Vergewaltiger zusammengeschlagen und er wisse nicht, wie stark dieser verletzt sei. Er müsse mit einem Racheakt rechnen. X._______ würde ihn sicherlich verfolgen, ihn töten oder sich allenfalls an seinen Kindern rächen. Sie hätten als Roma keine Rechte und würden als Lügner und Diebe gelten. Ihr Sohn C._______ sei ganz verängstigt, er wolle nicht draussen spielen und weine sehr oft. Er habe gesagt, dass er sterben werde. D._______ gehe es gut. In Serbien hätten die Beschwerdeführenden bei den Eltern gelebt. Sie könnten nirgendwo anders Fuss fassen und hätten auch anderswo wiederum Probleme. Der Beschwerdeführer habe auf dem Bau gearbeitet und Musik gemacht. Sein Einkommen habe gerade so zum Leben gereicht. Bei einer Rückkehr könnte er nicht mit einem fairen Verfahren rechnen. Aber er fürchte sich noch mehr davor, dass der Peiniger sich an ihm rächen und ihn töten würde.</w:t>
      </w:r>
    </w:p>
    <w:p>
      <w:r>
        <w:rPr>
          <w:b/>
        </w:rPr>
        <w:t>E. 6.1</w:t>
      </w:r>
    </w:p>
    <w:p>
      <w:r>
        <w:t>Für das Bundesverwaltungsgericht besteht nach Überprüfung der Akten keine Veranlassung, die Erwägungen des BFM zu beanstanden. Die Vorinstanz hat in der angefochtenen Verfügung vom 20. März 2012 treffend und korrekt ausgeführt, dass im vorliegenden Fall vom Vorhandensein eines adäquaten Schutzes durch den Staat Serbien auszugehen ist und somit der geltend gemachte Übergriff durch eine Drittperson nicht asylrelevant ist. Um Wiederholungen zu vermeiden, kann daher vorab auf die zutreffenden und substanziierten Ausführungen des BFM in der vor­instanzlichen Verfügung verwiesen werden. Die Vorbringen in der Rechtsmitteleingabe vom 20. April 2012 sind nicht geeignet, eine Änderung der vorinstanzlichen Verfügung zu bewirken. Der Argumentation des BFM werden keine stichhaltigen Gründe entgegengesetzt. Eine diesbezügliche Auseinandersetzung unterbleibt zwar nicht gänzlich, die Vorbringen in der Rechtsmitteleingabe verlaufen jedoch in allgemeinen Ausführungen und Wiederholungen, die mit keinerlei stichhaltigen Argumenten oder Beweismitteln gestützt werden.</w:t>
      </w:r>
    </w:p>
    <w:p>
      <w:r>
        <w:rPr>
          <w:b/>
        </w:rPr>
        <w:t>E. 6.2</w:t>
      </w:r>
    </w:p>
    <w:p>
      <w:r>
        <w:t>Nicht unerwähnt bleiben soll, dass ohnehin erhebliche Zweifel daran bestehen, ob sich der von den Beschwerdeführenden vorgebrachte fluchtauslösende Vorfall überhaupt abgespielt hat. Diese Zweifel ergeben sich vor allem aufgrund einiger in diesem Zusammenhang stehenden widersprüchlichen und nicht nachvollziehbaren Aussagen der Beschwerdeführenden (vgl. diesbezüglich einleitend die Verfügung des BFM vom 20. März 2012 Erwägung I Ziff. 3 S. 4). Zudem konnte die Beschwerdeführerin den Übergriff ihres Peinigers nicht übereinstimmend terminieren. Sie sprach anlässlich der Befragung davon, dass sie am 10. Oktober 2011 vergewaltigt worden sei (vgl. A4, S. 7). In der Anhörung gab sie dann jedoch zu Protokoll, X._______ habe sie am 14. Oktober 2011 zu Hause aufgesucht und er sei einzig dieses eine Mal vorbeigekommen (vgl. A10, S. 7). Es hätte von der Beschwerdeführerin jedoch erwartet werden können, ein solch einschneidendes Ereignis zeitlich genau und übereinstimmend bestimmen zu können. Überdies besteht in den Vorbringen der Beschwerdeführenden im Zusammenhang mit dem Stellen einer Strafanzeige bei den Behörden eine weitere eklatante Ungereimtheit. Während die Beschwerdeführerin in der Befragung zur Person aussagte, weder sie noch eine andere Person hätten den Vorfall der Polizei gemeldet (vgl. A4, S. 7 f.), behauptete der Beschwerdeführer in der Erstbefragung das Gegenteil (vgl. A3, S. 7). Des Weiteren ist es nicht nachvollziehbar, dass sich die Beschwerdeführerin - obwohl sie zu diesem Zeitpunkt schwanger war - nach der Vergewaltigung nicht durch medizinische Fachpersonen untersuchen liess. Zudem geht aus den vorhandenen Akten und den immer wieder unterschiedlichen Aussagen der Beschwerdeführenden nicht eindeutig hervor, ob es sich beim Peiniger nun selbst um einen Polizisten handelt oder ob einzig dessen Familie nahe Beziehungen zu den serbischen Sicherheitsbehörden pflege. So gab die Beschwerdeführerin zwar an, X._______ und sein Bruder seien Polizisten (vgl. A10, S. 4 F27), der Beschwerdeführer gab indessen zu Protokoll, der Bruder von X._______ sei Polizist (vgl. A11, S. 5 F41) und der Beruf von X._______ sei ihm nicht bekannt beziehungsweise er sei Autohändler (vgl. A11, S 6 f. F59 f.). Im Weiteren wird in der Beschwerde vorgebracht, C._______ sei vom Vergewaltiger am Auge und am Fuss verletzt worden. Einen solchen Sachverhalt machten die Beschwerdeführenden im vorinstanzlichen Verfahren jedoch nicht geltend: Sie behaupteten, C._______ sei am Knöchel verletzt worden, von einer Augenverletzung war keine Rede (vgl. A10, S. 8 F77 ff.; A11, S. 6 F50 f.). In Würdigung der gesamten Umstände muss deshalb davon ausgegangen werden, dass es sich bei den Vorbringen im Zusammenhang mit der geltend gemachten Vergewaltigung um ein Sachverhaltskonstrukt handelt. Es erübrigt sich jedoch, auf diese und weitere Ungereimtheiten im Detail einzugehen, da sie für den Ausgang des hier vorliegenden Verfahrens nicht weiter von Relevanz sind und deshalb eine eingehende Glaubhaftigkeitsprüfung unterbleiben kann.</w:t>
      </w:r>
    </w:p>
    <w:p>
      <w:r>
        <w:rPr>
          <w:b/>
        </w:rPr>
        <w:t>E. 6.3</w:t>
      </w:r>
    </w:p>
    <w:p>
      <w:r>
        <w:t>Ergänzend ist anzufügen, dass die Volksgruppe der Roma in Serbien trotz der Bemühungen der Behörden zur Förderung der Gleichbehandlung zwar nach wie vor Opfer verschiedener Diskriminierungen werden, namentlich in den Bereichen Bildung, Arbeit, Wohnen und Gesundheit, welche sie in eine prekäre Situation versetzen. Allein mit der Zugehörigkeit zur serbischen Minderheit der Roma und den in diesem Zusammenhang geltend gemachten widrigen Lebensumständen wird aber noch keine individuelle Betroffenheit im Sinne der asylrechtlichen Bestimmungen dargelegt.</w:t>
      </w:r>
    </w:p>
    <w:p>
      <w:r>
        <w:rPr>
          <w:b/>
        </w:rPr>
        <w:t>E. 6.4</w:t>
      </w:r>
    </w:p>
    <w:p>
      <w:r>
        <w:t>Das Bundesverwaltungsgericht kommt somit nach einer Prüfung der Akten und der Rechtsmitteleingabe zum Schluss, dass die Ausführungen in der Beschwerde nicht geeignet sind, die Erwägungen der Vorinstanz zu entkräften. Zusammenfassend ist demnach festzustellen, dass die Vorbringen der Beschwerdeführenden den Anforderungen an die Flüchtlingseigenschaft gemäss Art. 3 AsylG nicht genügen. Das BFM hat das Asylgesuch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vgl. BVGE 2009/50 E. 9 S. 733, BVGE 2008/34 E. 9.2 S. 510,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Die allgemeine Lage in Serbien lässt nicht auf eine konkrete Gefährdung der Beschwerdeführenden im Falle einer Rückkehr schliessen. Zwar werden Angehörige der Roma - wie bereits erwähnt - beim Zugang zu Bildung, Arbeit, Wohnen und Gesundheit diskriminiert. Diese Diskriminierungen erreichen indessen nicht ein Ausmass, das den Vollzug der Wegweisung allgemein als unzumutbar erscheinen liesse.</w:t>
      </w:r>
    </w:p>
    <w:p>
      <w:r>
        <w:rPr>
          <w:b/>
        </w:rPr>
        <w:t>E. 8.3.2</w:t>
      </w:r>
    </w:p>
    <w:p>
      <w:r>
        <w:t>Es sprechen auch keine individuellen Gründe gegen die Zumutbarkeit der Rückkehr der Beschwerdeführenden. Das BFM ist zu Recht davon ausgegangen, dass sie in Serbien über ein familiäres und soziales Beziehungsnetz verfügen und in das Haus zurückkehren können, das sie bereits vor ihrer Ausreise zusammen mit den Eltern beziehungsweise Schwiegereltern bewohnt haben. Zudem ist es dem Beschwerdeführer durchaus zuzumuten, in seiner Heimat wiederum einer Arbeitstätigkeit nachzugehen, um für den notwendigen Unterhalt für sich und seine Familie zu sorgen.</w:t>
      </w:r>
    </w:p>
    <w:p>
      <w:r>
        <w:rPr>
          <w:b/>
        </w:rPr>
        <w:t>E. 8.3.3</w:t>
      </w:r>
    </w:p>
    <w:p>
      <w:r>
        <w:t>Nach dem Gesagten erweist sich der Vollzug der Wegweisung auch als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10</w:t>
      </w:r>
    </w:p>
    <w:p>
      <w:r>
        <w:t>Was den noch nicht behandelten Antrag der Beschwerdeführenden auf vorsorgliche Anweisung der zuständigen Behörde, die Kontaktaufnahme mit den Behörden des Heimat- oder Herkunftsstaates sowie jegliche Datenweitergabe an dieselben zu unterlassen und bei bereits erfolgter Datenweitergabe darüber in einer separaten Verfügung zu informieren, anbelangt, so wird dieser mit vorliegendem Entscheid in der Hauptsache hinfällig. Im Übrigen finden sich in den Akten bis zum heutigen Zeitpunkt keine Hinweise, welche auf eine allfällige Bekanntgabe der in Art. 97 Abs. 3 Bstn. a-c AsylG erwähnten Personendaten gegenüber der zuständigen ausländischen Behörde hindeuten würden.</w:t>
      </w:r>
    </w:p>
    <w:p>
      <w:r>
        <w:rPr>
          <w:b/>
        </w:rPr>
        <w:t>E. 11.1</w:t>
      </w:r>
    </w:p>
    <w:p>
      <w:r>
        <w:t>Die mit der Beschwerde gestellten Gesuche um Gewährung der unentgeltlichen Rechtspflege gemäss Art. 65 Abs. 1 und 2 VwVG sind abzuweisen, da die Begehren - wie sich aus den vorliegenden Erwägungen ergibt - als aussichtslos zu bezeichnen sind, weshalb die kumulativen Voraussetzungen für die Gewährung der unentgeltlichen Rechtspflege nicht erfüllt sind. Zudem ist das Rechtsbegehren, es sei auf die Erhebung eines Kostenvorschusses zu verzichten, aufgrund des direkten Entscheides in der Hauptsache gegenstandlos geworden.</w:t>
      </w:r>
    </w:p>
    <w:p>
      <w:r>
        <w:rPr>
          <w:b/>
        </w:rPr>
        <w:t>E. 11.2</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