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D-212/2015 vom 19. März 2015</w:t>
      </w:r>
    </w:p>
    <w:p>
      <w:r>
        <w:t>Bundesverwaltungsgericht, 2015-03-19, DE</w:t>
      </w:r>
    </w:p>
    <w:p>
      <w:r>
        <w:rPr>
          <w:b/>
        </w:rPr>
        <w:t xml:space="preserve">Quelle: </w:t>
      </w:r>
      <w:r>
        <w:t>https://mcp.opencaselaw.ch/entscheid/bvger_D-212_2015</w:t>
      </w:r>
    </w:p>
    <w:p>
      <w:r>
        <w:t>FR: TAF D-212/2015 du 19 mars 2015</w:t>
      </w:r>
    </w:p>
    <w:p>
      <w:r>
        <w:t>IT: TAF D-212/2015 del 19 marzo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Betroffenen ihn gegebenenfalls sachgerecht anfechten können.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w:t>
      </w:r>
    </w:p>
    <w:p>
      <w:r>
        <w:rPr>
          <w:b/>
        </w:rPr>
        <w:t>E. 4.2</w:t>
      </w:r>
    </w:p>
    <w:p>
      <w:r>
        <w:t>Zum Kassationsantrag des Beschwerdeführers ist Folgendes festzuhalten: Das SEM hat im angefochtenen Entscheid ausführlich und nachvollziehbar dargelegt, weshalb beim Beschwerdeführer von der äthiopischen Staatsbürgerschaft oder zumindest einem äthiopischen Bleiberecht auszugehen ist, und hat die in diesem Land geltend gemachte Verfolgung entsprechend nicht als diejenige eines Drittstaats gewertet. Auf diese Ausführungen kann grundsätzlich verwiesen werden. Insoweit war die Vorinstanz nicht gehalten, wegen der vom Beschwerdeführer behaupteten eritreischen Staatsbürgerschaft die Dossiers der Halbgeschwister bei­zuziehen, da sich die gezogenen Schlüsse bereits aus seinen eigenen Akten klarerweise ergaben. In der Vernehmlassung weist das SEM unter Hinweis auf die äthiopische Rechtslage überdies darauf hin, dass im Kontext vor Ort durchaus verschiedene Staatsangehörigkeiten einzelner Familienmitglieder bestehen können und eine allfällige eritreische Staatsbür­gerschaft der Halbgeschwister keinen Einfluss auf die Staatsbürgerschaft des Beschwerdeführers hätte. Im Übrigen konnte den Aussagen des Beschwerdeführers in keiner Weise entnommen werden, dass er wegen sei­ner Halbgeschwister unter behördlichem Druck gestanden wäre oder ein solcher bevorgestanden hätte, weshalb besagte Akten auch in diesem Lichte besehen nicht beigezogen werden mussten. Anzufügen ist, dass das SEM die Vorbringen des Beschwerdeführers entgegen den etwas missverständlichen Vorbringen in der Replik auch auf ihre Asylrelevanz prüfte, dabei zwischen der erlittenen Haft und den sonstigen Vorbringen differenzierte und bei der Anhörung durchaus (Vertiefungs-)Fragen zur Situation nach der geltend gemachten Haft 1998/1999 stellte (vgl. A 28/13 Fragen 52, 60 f., 71 und 88). Nach dem Gesagten hat die Vorinstanz keine Gehörsverletzung begangen, weshalb der Antrag auf Rückweisung der Sache an das SEM abzuweisen ist. Da der Sachverhalt demnach genügend erstellt ist, erfolgt auch keine Fristansetzung an den Beschwerdeführer für eine ergänzende Eingabe.</w:t>
      </w:r>
    </w:p>
    <w:p>
      <w:r>
        <w:rPr>
          <w:b/>
        </w:rPr>
        <w:t>E. 5.1</w:t>
      </w:r>
    </w:p>
    <w:p>
      <w:r>
        <w:t>Das SEM hat die vom Beschwerdeführer in Äthiopien erlittene Haft Ende der 90er-Jahre als unglaubhaft erachtet. Seine Darstellung, wonach er danach den Führerschein gemacht und weiterhin in Äthiopien gelebt habe, vermöge nicht zu überzeugen. Eine Überprüfung dieser Qualifizierung kann vorliegend unterbleiben. Unbesehen der Glaubhaftigkeit dieser Haft hat das SEM nämlich zu Recht und in überzeugender Art erwogen, dass auch bei Annahme der Glaubhaftigkeit von Folter und Haft aufgrund seiner eritreischen Herkunft im Jahre 1998/1999 die Kausalität zur erst 2012 erfolgten Flucht ohnehin zu verneinen wäre. Die Rekursvorbringen, wonach der Beschwerdeführer auch danach ernsthaft im Fokus der Behörden gestanden sei, überzeugen insofern nicht, als er anlässlich der Anhörungen zwar ausführte, nach seiner Haft beobachtet und beleidigt worden zu sein, hingegen auch zu verstehen gab, in Äthiopien ohne Probleme gelebt zu haben beziehungsweise ohne Krankheit dort nach wie vor leben zu können (vgl. A 6/13 S. 7; A 28/13 Antwort 71). Diesen Aussagen gemäss ist nicht davon auszugehen, dass die geltend gemachte Verfolgung in all den Jahren nach der erlittenen Haft in einem relevanten Ausmass noch andauerte. Stichhaltige Beschwerdeargumente für eine andere Sichtweise fehlen. Auch die Annahme von zwingenden Gründen im Sinne von Art. 1C Ziff. 5 Abs. 2 des Abkommens vom 28. Juli 1951 über die Rechtsstellung der Flüchtlinge (FK, SR 0.142.30) rechtfertigt sich bei dieser Sachlage nicht, zumal dies ebenfalls eine asylrechtlich relevante Verfolgung im Zeitpunkt der Ausreise voraussetzen würde. Der gesundheitlichen Situation des Beschwerdeführers - und der damit einhergehenden sozialen Ächtung verbunden mit weiteren Erschwernissen - ist vom SEM zutreffenderweise nicht im Asyl-, sondern im Vollzugspunkt mit der vorläufigen Aufnahme Rechnung getragen worden.</w:t>
      </w:r>
    </w:p>
    <w:p>
      <w:r>
        <w:rPr>
          <w:b/>
        </w:rPr>
        <w:t>E. 5.2</w:t>
      </w:r>
    </w:p>
    <w:p>
      <w:r>
        <w:t>Unter Berücksichtigung der gesamten Umstände folgt, dass der Be­schwerdeführer keine Gründe nach Art. 3 AsylG nachweisen oder glaub­haft machen konnte. Die Vorinstanz hat die Flüchtlingseigen­schaft zu Recht verneint und das Asylgesuch abgelehnt. An dieser Einschät­zung ver­mögen die weiteren Ausführungen in den Eingaben mangels Stichhaltig­keit nichts zu ändern.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w:t>
      </w:r>
    </w:p>
    <w:p>
      <w:r>
        <w:t>Der Beschwerdeführer wurde vom SEM mit Entscheid vom 9. Dezem­ber 2014 wegen Unzumutbarkeit des Wegweisungsvollzuges vorläufig in der Schweiz aufgenommen. Ausführungen zum Vollzug der Wegweisung erübrigen sich demnach.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Nachdem sein Gesuch im Sinne von Art. 65 Abs. 1 VwVG mit Zwischenverfügung vom 15. Januar 2015 gutgeheissen wurde und sich seine finanzielle Situation seither nicht entscheidwesentlich verändert hat,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