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D-2121/2015 vom 1. Juni 2016</w:t>
      </w:r>
    </w:p>
    <w:p>
      <w:r>
        <w:t>Bundesverwaltungsgericht, 2016-06-01, DE</w:t>
      </w:r>
    </w:p>
    <w:p>
      <w:r>
        <w:rPr>
          <w:b/>
        </w:rPr>
        <w:t xml:space="preserve">Quelle: </w:t>
      </w:r>
      <w:r>
        <w:t>https://mcp.opencaselaw.ch/entscheid/bvger_D-2121_2015</w:t>
      </w:r>
    </w:p>
    <w:p>
      <w:r>
        <w:t>FR: TAF D-2121/2015 du 1 juin 2016</w:t>
      </w:r>
    </w:p>
    <w:p>
      <w:r>
        <w:t>IT: TAF D-2121/2015 del 1 giugno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4.1</w:t>
      </w:r>
    </w:p>
    <w:p>
      <w:r>
        <w:t>Im Hinblick auf die Beurteilung der Asylvorbringen des Beschwerdeführers ist zunächst festzustellen, dass das vorinstanzliche Verfahren offensichtlich mangelhaft geführt wurde. Im Anschluss an seine Anhörung vom 25. Juli 2014 reichte der Beschwerdeführer mit Eingabe an das BFM vom 21. August 2014 als Beweismittel eine türkische Gerichtsakte ein. Dabei handelt es sich was sich jedoch erst aufgrund einer durch das Bundesverwaltungsgericht angefertigten amtlichen Übersetzung eindeutig erwiesen hat um ein den Beschwerdeführer betreffendes Strafurteil der [...] Kammer des Staatssicherheitsgerichts (Devlet Güvenlik Mahkemesi [DGM]) B._______ vom [...] 1999. Im vorinstanzlichen Aktenverzeichnis wurde der Eingang dieses Beweismittels nicht vermerkt, und das betreffende Schriftstück wurde in einem unbezeichneten Couvert an chronologisch willkürlicher Stelle zu den Akten gelegt. Auch wurde das Beweismittel trotz seiner als offensichtlich zu erachtenden Entscheidwesentlichkeit nicht übersetzt. Das mit Eingabe der Rechtsvertreterin vom 19. Februar 2015 an das SEM gestellte Gesuch um Akteneinsicht bezüglich des Gerichtsurteils blieb unbeantwortet, was an sich bereits einer erheblichen Verletzung des rechtlichen Gehörs gleichkommt. In der angefochtenen Verfügung wurde die Existenz des Beweismittels zwar erwähnt. Jedoch wurde auf den Inhalt des Urteils insbesondere auf die Fragen, aufgrund welcher Vorwürfe und mit welcher Begründung der Beschwerdeführer zu welcher Strafe verurteilt wurde nicht weiter eingegangen. Zu erwähnen ist ausserdem, dass der Beschwerdeführer anlässlich seiner Anhörung geltend machte, nach seiner ersten Haftentlassung im [...] 2004 habe er sich zugunsten der kurdischen Partei BDP politisch betätigt, und er habe deswegen wieder Probleme mit der Polizei bekommen und sei schliesslich zwischen Mitte und Ende 2007 wieder in Haft gesetzt worden, um seine restliche Strafe zu verbüssen. Dieses Vorbringen wurde in der angefochtenen Verfügung mit keinem Wort erwähnt. Eine derartig sich summierende Ausserachtlassung wesentlicher Asylvorbringen durch die Vorinstanz ist als krasse Verletzung der rechtlichen Gehörsansprüche des Beschwerdeführers zu bezeichnen.</w:t>
      </w:r>
    </w:p>
    <w:p>
      <w:r>
        <w:rPr>
          <w:b/>
        </w:rPr>
        <w:t>E. 4.2</w:t>
      </w:r>
    </w:p>
    <w:p>
      <w:r>
        <w:t>Aus dem erwähnten Urteil des DGM B._______ vom [...] 1999 geht aufgrund der nunmehr vorliegenden deutschen Übersetzung im Wesentlichen Folgendes hervor: Der Beschwerdeführer habe sich gemäss Anklage der PKK angeschlossen und in einem Lager der Organisation in der Region G._______ (Provinz B._______) eine politische und militärische Schulung erhalten, wobei er ausserdem mit einer Kalaschnikow bewaffnet worden sei. Im [...] 1996 habe er an einer Aktion teilgenommen, bei der eine Person zu Tode gekommen sei. Am [...] 1996 sei der Beschwerdeführer aus der PKK geflohen und habe sich den Sicherheitskräften gestellt. Bei der Vernehmung durch die Polizei habe er die ihm von der Anklage zur Last gelegten Straftaten zugegeben. Jedoch habe der Beschwerdeführer später eine schriftliche Erklärung abgegeben, wonach er während seiner Untersuchungshaft gefoltert worden sei. In der Verhandlung vor dem DGM habe der Beschwerdeführer erklärt, dass er sich im Oktober 1995 der PKK angeschlossen und eine militärische und politische Schulung erhalten habe, dass er bewaffnet worden sei und sich im [...] 1996, als mehrere militärische Operationen der türkischen Sicherheitskräfte gegen die PKK stattgefunden hätten, im fraglichen Gefechtsgebiet in der Region G._______ aufgehalten habe, dass er jedoch persönlich an keiner bewaffneten Aktion teilgenommen habe. Der Beschwerdeführer habe ausserdem erklärt, dass er die Anschuldigungen gegen den inhaftierten Führer der PKK, Abdullah Öcalan, nicht anerkenne und vielmehr dessen Ziele teile und unterstütze, die sich nicht auf Separatismus richten würden, sondern auf die Bruderschaft des kurdischen und des türkischen Volkes sowie das brüderliche Zusammenleben der Völkerschaften in einer Republik, in der umfassende Demokratie herrsche. Bei den fraglichen Operationen der türkischen Armee namens "H._______" und "I._______" vom [...] und vom [...] 1996 seien insgesamt [...] Soldaten und [...] Terroristen getötet worden. Wegen Beteiligung an diesen Feuergefechten seien insgesamt elf Personen angeklagt worden. Die Aussagen dieser Angeklagten seien überprüft worden, wobei festgestellt worden sei, dass der Name des Beschwerdeführers nicht erwähnt worden sei. Sieben der Angeklagten seien ausserdem im Verfahren des Beschwerdeführers als Zeugen angehört worden. Aus deren Aussagen gehe hervor, dass sie den Beschwerdeführer nicht kennen würden und ihn auch nicht im Gefechtsgebiet gesehen hätten. Der Beschwerdeführer habe sich im Rahmen der Verhandlung vor dem Gericht zwar von seinen Geständnissen gegenüber der Polizei distanziert und die Teilnahme am erwähnten Gefecht bestritten. Jedoch habe er seine Mitgliedschaft bei der PKK anerkannt. Auf der Grundlage der vorhandenen Unterlagen, der Geständnisse des Beschwerdeführers, der Tatsache, dass er zur Zeit der fraglichen militärischen Operation bewaffnet gewesen sei und unter Berücksichtigung des Verlaufes jener Operation erachte es das Gericht als erwiesen, dass der Beschwerdeführer an der Aktion beteiligt gewesen sei und schenke der Verteidigung keinen Glauben. Gestützt auf Art. 125 des (damaligen) türkischen Strafgesetzbuchs sei gegen den Beschwerdeführer wegen der Straftat des Separatismus die Todesstrafe zu verhängen. Da der Beschwerdeführer zum Zeitpunkt der Straftat im Alter von 15 bis 18 Jahren gewesen sei, sei diese Strafe in eine Zuchthausstrafe von 20 Jahren umzuwandeln. Unter Berücksichtigung des Verhaltens des Beschwerdeführers während der Verhandlung und in Anerkennung seines anfänglich abgelegten Geständnisses sei die Strafe um ein Sechstel zu kürzen und auf 16 Jahre und 6 Monate Haft festzulegen.</w:t>
      </w:r>
    </w:p>
    <w:p>
      <w:r>
        <w:rPr>
          <w:b/>
        </w:rPr>
        <w:t>E. 4.3</w:t>
      </w:r>
    </w:p>
    <w:p>
      <w:r>
        <w:t>Es ist festzustellen, dass das genannte Strafurteil offensichtlich und in eklatanter Weise unter Verletzung minimaler rechtsstaatlicher und verfahrensrechtlicher Garantien zustande kam. So wurde durch das DGM B._______ bei der Urteilsbegründung weder darauf eingegangen, dass der Beschwerdeführer geltend machte, durch Folter zu Geständnissen gezwungen worden zu sein, noch wurde berücksichtigt, dass er gemäss den im Entscheid aufgeführten Zeugen gar nicht bei den Kampfhandlungen zwischen der Armee und der PKK beteiligt gewesen sei. Das Urteil enthält keinerlei nachvollziehbare Begründung für die Folgerung des Gerichts, der Beschwerdeführer habe an den fraglichen Kampfhandlungen tatsächlich teilgenommen. Als rechtsstaatlich und menschenrechtlich unhaltbar zu bezeichnen ist ausserdem die Verhängung der Todesstrafe gegen den zur Tatzeit minderjährigen Beschwerdeführer, selbst unter Berücksichtigung der Umwandlung in eine zwanzigjährige Haftstrafe bei zusätzlicher Strafminderung. Festzustellen ist des Weiteren, dass der Beschwerdeführer aufgrund dieses Urteils insgesamt mehr als zehn Jahre in Haft verbrachte.</w:t>
      </w:r>
    </w:p>
    <w:p>
      <w:r>
        <w:rPr>
          <w:b/>
        </w:rPr>
        <w:t>E. 4.4</w:t>
      </w:r>
    </w:p>
    <w:p>
      <w:r>
        <w:t>Das SEM hat seine Einschätzung, die Verurteilung und die jahrelange Haft des Beschwerdeführers seien asylrechtlich nicht relevant, einzig damit begründet, die Inhaftierung habe bereits vor zehn Jahren geendet und es gebe keine Hinweise darauf, dass der Beschwerdeführer diesbezüglich weitere Verfolgungsmassnahmen zu befürchten hätte. Dieses Argument ist zunächst insofern zu berichtigen, als seit der letztmaligen Haftentlassung des Beschwerdeführers zum Zeitpunkt der angefochtenen Verfügung fünf Jahre verstrichen waren.</w:t>
      </w:r>
    </w:p>
    <w:p>
      <w:r>
        <w:rPr>
          <w:b/>
        </w:rPr>
        <w:t>E. 4.5</w:t>
      </w:r>
    </w:p>
    <w:p>
      <w:r>
        <w:t>Im vorliegenden Zusammenhang ist zudem festzuhalten, dass verfolgt im Sinne von Art. 3 AsylG ist, wer aus den in Abs. 1 der genannten Norm aufgezählten Gründen ernsthaften Nachteilen ausgesetzt ist oder begründete Furcht hat, solchen Nachteilen ausgesetzt zu werden. Dabei umfasst die Furcht vor künftiger Verfolgung gemäss ständiger Rechtsprechung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2009/51 E. 4.2.5; Entscheidungen und Mitteilungen der Schweizerischen Asylrekurskommission [EMARK] 2000 Nr. 9 E. 5a sowie 2004 Nr. 21 E. 3b/aa). Dabei ist auch zu beachten, dass eine Person, die bereits einmal staatlichen Verfolgungen ausgesetzt war, objektive Gründe für eine ausgeprägtere (subjektive) Furcht hat als jemand, der erstmals in Kontakt mit staatlichen Sicherheitskräften kommt (vgl. EMARK 1993 Nr. 11 E. 4c, 1994 Nr. 24 E. 8b).</w:t>
      </w:r>
    </w:p>
    <w:p>
      <w:r>
        <w:rPr>
          <w:b/>
        </w:rPr>
        <w:t>E. 4.6</w:t>
      </w:r>
    </w:p>
    <w:p>
      <w:r>
        <w:t>Der Beschwerdeführer hat durch seine Verurteilung und Inhaftierung aufgrund eines Strafverfahrens, das minimale rechtsstaatliche Grundsätze ausser Acht liess, durch die türkischen Justizbehörden eine massive und lange anhaltende Verletzung fundamentaler menschenrechtlicher Garantien erlitten. Zu berücksichtigen ist weiter, dass der Beschwerdeführer geltend macht, er habe sich nach seiner ersten Haftentlassung im [...] 2004 zugunsten der kurdischen Partei BDP politisch engagiert. Deswegen habe er erneut Schwierigkeiten mit der türkischen Polizei bekommen, und er sei in der Folge wieder in Haft gesetzt worden, um seine restliche Zuchthausstrafe zu verbüssen. Zu diesem Vorbringen wurden durch die Vor­instanz im Rahmen der durchgeführten Anhörung keinerlei weitere Fragen gestellt, und es ist daher unklar, welcher Art das politische Engagement für die BDP im Einzelnen war und inwiefern es die Ursache für die erneute Inhaftierung im Jahr 2007 bildete. Weil die sonstige erlittene Verfolgung eindeutig belegt ist, in Anbetracht ihres erheblichen Ausmasses und unter Berücksichtigung des derzeitigen politischen Klimas in der Türkei in dem unter anderem kurdischen Oppositionellen pauschal die Beteiligung an angeblichen terroristischen Umtrieben vorgeworfen wird (vgl. European Commission, Turkey 2015 Report, 10. November 2015, S. 21 ff.; Human Rights Watch, World Report 2016, New York 2016, S. 578 ff.; International Crisis Group, The Human Cost of the PKK Conflict in Turkey: The Case of Sur, Crisis Group Europe Briefing N°80, 17. März 2016; zur Menschenrechtslage in der Türkei zuletzt auch BVGE 2013/25, 2014/21) ist indessen ohnehin der Schluss zu ziehen, dass die Furcht des Beschwerdeführers, im Falle einer Rückkehr in die Türkei erneut einer menschenrechtswidrigen Behandlung ausgesetzt zu werden, objektiv nachvollziehbar ist. Schliesslich sind zudem auch die Ergebnisse der Abklärungen der schweizerischen Botschaft in Ankara zu berücksichtigen, wonach der Beschwerdeführer am [...] 2010 nach Vollstreckung von drei Vierteln seiner Freiheitsstrafe unter der Bedingung aus der Haft entlassen worden ist, dass er bis zum [...] 2015 nicht mehr straffällig werde. Nachdem die Abklärungen der Botschaft weiter ergaben, dass der Beschwerdeführer in der Türkei wegen seines nicht geleisteten Militärdiensts gesucht wird, ist von einem erheblichen Risiko auszugehen, dass er im Falle einer Rückkehr in seinen Heimatstaat gestützt auf das Strafurteil des DGM B._______ vom [...] 1999 wieder in Haft genommen würde.</w:t>
      </w:r>
    </w:p>
    <w:p>
      <w:r>
        <w:rPr>
          <w:b/>
        </w:rPr>
        <w:t>E. 4.7</w:t>
      </w:r>
    </w:p>
    <w:p>
      <w:r>
        <w:t>Zusammenfassend ergibt sich somit, dass der Beschwerdeführer die Flüchtlingseigenschaft im Sinne von Art. 3 AsylG erfüllt.</w:t>
      </w:r>
    </w:p>
    <w:p>
      <w:r>
        <w:rPr>
          <w:b/>
        </w:rPr>
        <w:t>E. 4.8</w:t>
      </w:r>
    </w:p>
    <w:p>
      <w:r>
        <w:t>Aus den Akten sind sodann auch keine Hinweise ersichtlich, die auf das Bestehen von Asylausschlussgründen hindeuten würden. Zwar wurde dem Beschwerdeführer seitens der türkischen Justizbehörden die Beteiligung an Kampfhandlungen zwischen staatlichen Sicherheitskräften und der PKK vorgeworfen. Indessen hat sich erwiesen, dass diese Vorwürfe in einem Strafverfahren erhoben wurden, das keine rechtsstaatliche Legitimität zu beanspruchen vermag. Weiter ist festzustellen, dass die im betreffenden Urteil des DGM B._______ vom [...] 1999 enthaltenen Ausführungen vielmehr den umgekehrten Schluss nahe legen, der Beschwerdeführer sei an den ihm vorgeworfenen Taten gerade nicht beteiligt gewesen. Es liegen auch ansonsten keinerlei konkrete Anhaltspunkte für die Annahme vor, der Beschwerdeführer habe Taten begangen, die unter dem Gesichtspunkt der Asylunwürdigkeit im Sinne des Art. 53 AsylG zu beurteilen wären. Die alleinige Tatsache einer Mitgliedschaft bei einer extremistischen Organisation, so namentlich bei der PKK, vermag nach ständiger Rechtsprechung nicht zur Folgerung der Asylunwürdigkeit zu führen (BVGE 2011/10 E. 6.1, 2011/29 E. 9.2.4, EMARK 2002 Nr. 9 E. 7c).</w:t>
      </w:r>
    </w:p>
    <w:p>
      <w:r>
        <w:rPr>
          <w:b/>
        </w:rPr>
        <w:t>E. 5</w:t>
      </w:r>
    </w:p>
    <w:p>
      <w:r>
        <w:t>Die Beschwerde ist folglich gutzuheissen, und die angefochtene Verfügung ist aufzuheben. Das SEM ist anzuweisen, den Beschwerdeführer als Flüchtling zu anerkennen und ihm in der Schweiz Asyl zu gewähren.</w:t>
      </w:r>
    </w:p>
    <w:p>
      <w:r>
        <w:rPr>
          <w:b/>
        </w:rPr>
        <w:t>E. 6.1</w:t>
      </w:r>
    </w:p>
    <w:p>
      <w:r>
        <w:t>Bei diesem Ausgang des Verfahrens sind keine Kosten zu erheben (Art. 63 Abs. 3 VwVG i.V.m. Art. 37 VGG).</w:t>
      </w:r>
    </w:p>
    <w:p>
      <w:r>
        <w:rPr>
          <w:b/>
        </w:rPr>
        <w:t>E. 6.2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Gestützt auf die in Betracht zu ziehenden Bemessungsfaktoren (Art. 9 13 VGKE) und die angesichts des Aufwandes als angemessen erscheinende Kostennote der Rechtsvertreterin vom 4. April 2015 ist die Parteientschädigung auf Fr. 1'879. (inkl. Auslagen und Mehrwertsteuer) festzusetzen.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