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D-2119/2010 vom 23. August 2010</w:t>
      </w:r>
    </w:p>
    <w:p>
      <w:r>
        <w:t>Bundesverwaltungsgericht, 2010-08-23, DE</w:t>
      </w:r>
    </w:p>
    <w:p>
      <w:r>
        <w:rPr>
          <w:b/>
        </w:rPr>
        <w:t xml:space="preserve">Quelle: </w:t>
      </w:r>
      <w:r>
        <w:t>https://mcp.opencaselaw.ch/entscheid/bvger_D-2119_2010</w:t>
      </w:r>
    </w:p>
    <w:p>
      <w:r>
        <w:t>FR: TAF D-2119/2010 du 23 août 2010</w:t>
      </w:r>
    </w:p>
    <w:p>
      <w:r>
        <w:t>IT: TAF D-2119/2010 del 23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Für das Bundesverwaltungsgericht besteht nach Überprüfung der Akten in materieller Hinsicht keine Veranlassung, die Erwägungen des BFM zu beanstanden. Um Wiederholungen zu vermeiden, kann daher vorab auf die zutreffenden vorinstanzlichen Ausführungen in der ange-fochtenen Verfügung verwiesen werden. Die Vorbringen in der Rechtsmitteleingabe vom 31. März 2010 sind nicht geeignet, eine Änderung dieser Verfügung zu bewirken. Der Argumentation des BFM werden keine stichhaltigen Gründe entgegengesetzt. Der Beschwerdeführer hat sich - wie bereits vom BFM in der angefochtenen Verfügung ausgeführt - in seinen Ausführungen anlässlich der Befragung vom 3. Februar 2009 und der Anhörung vom 26. Februar 2009 in zentralen Punkten in widersprüchliche Aussagen verstrickt. Zudem widersprechen die Vorbringen des Beschwerdeführers auch der allgemeinen Lebenserfahrung und sind tatsachenwidrig.</w:t>
      </w:r>
    </w:p>
    <w:p>
      <w:r>
        <w:rPr>
          <w:b/>
        </w:rPr>
        <w:t>E. 4.2</w:t>
      </w:r>
    </w:p>
    <w:p>
      <w:r>
        <w:t>In seiner Eingabe vom 31. März 2010 geht der Beschwerdeführer vorerst auf formelle Mängel in der Verfahrensführung des BFM ein. Insoweit er vollumfängliche Einsicht in die Akten A2/1, A7/1, A12/2, A14/2, A15/1, A16/3, A17/2, A18/3, A19/1 und A20/8 (recte: A20/1) verlangt, ist auf die Zwischenverfügung des Bundesverwaltungsgerichts vom 21 April 2010 zu verweisen, worin ausgeführt wurde, dass ihm seitens des BFM bereits am 18. März 2010 (vgl. A27/2, unterster Satz auf S. 1) Einsicht in die Akten A12/2, A14/2, A15/1, A19/1 und A20/1 gewährt wurde. Diese Akten sind also ohnehin im Besitz des Beschwerdeführers. Bezüglich der Akten A2/1, A7/1, A16/3, A17/2 und A18/3 wurde in der besagten Zwischenverfügung darauf hingewiesen, dass es sich hierbei - wie auch schon von der Vorinstanz zutreffend ausgeführt - um interne Akten, die nach der bundesgerichtlichen Praxis dem Akteneinsichtsrecht nicht unterstehen (BGE 115 V 303), handle. Unter diesen Umständen ist das Gesuch vom 6. Mai 2010 um wiedererwägungsweise Einsicht in die Verfahrensakten A2/1, A12/2, A14/2, A15/1 und A19/1 abzuweisen.</w:t>
      </w:r>
    </w:p>
    <w:p>
      <w:r>
        <w:rPr>
          <w:b/>
        </w:rPr>
        <w:t>E. 4.3</w:t>
      </w:r>
    </w:p>
    <w:p>
      <w:r>
        <w:t>Die Vorbringen des Beschwerdeführers, dass es sowohl bei der Befragung vom 3. Februar 2009 als auch bei der Anhörung vom 26. Februar 2009 zu Verständigungsproblemen und Missverständnissen gekommen sei, zumal er angegeben habe, den/die Dolmetscher (-in) lediglich "mittel" verstanden zu haben und es zudem betreffend die Feststellung der Muttersprache durch das BFM zu Ungereimtheiten gekommen sei, sind unbehelflich. Wie aus der internen - und somit nicht dem Akteneinsichtsrecht unterstehenden - Akte A 2/1 hervorgeht, hat der Beschwerdeführer als seine Muttersprache Französisch ("F") und als andere Sprache wiederum Französisch angegeben. Er hat auch sowohl während der Befragung vom 3. Februar 2009 - wo er zwar in der Tat angab, die französische Sprache nur "mittel" zu beherrschen (vgl. A1, S. 2) - als auch während der Anhö-rung vom 26. Februar 2009 - hier wiederum gab er an, seine Mutter-sprache sei das Französische (vgl. A9, S. 1) und führte im späteren Verlauf gar aus, die Leute in D._______ nicht verstanden zu haben, weil sie Dialekt und nicht Französisch gesprochen hätten (vgl. A9, S. 8) - nicht zu erkennen gegeben, dass er den Dolmetscher oder die Dolmetscherin schlecht verstehen würde. Sodann hat er nach der Rückübersetzung der entsprechenden Protokolle mit seiner Unterschrift bestätigt, dass diese seinen Aussagen und der Wahrheit entsprächen sowie in eine ihm verständliche Sprache (Französisch) rückübersetzt worden seien. Weder der Beschwerdeführer noch die bei der Anhörung vom 26. Februar 2009 anwesende Hilfswerksvertretung haben diesbezüglich interveniert; mithin muss sich der Beschwerdeführer bei seinen Äusserungen behaften lassen. Zudem hat der Beschwerdeführer - wie bereits erwähnt - mehrere Briefe in französischer Sprache an das BFM geschickt, was wiederum eine klare Sprache spricht. Somit ist auch der Antrag des Beschwerdeführers, es sei eine ergänzende Anhörung in einer ihm verständlichen Sprache durchzuführen, ebenfalls abzuweisen.</w:t>
      </w:r>
    </w:p>
    <w:p>
      <w:r>
        <w:rPr>
          <w:b/>
        </w:rPr>
        <w:t>E. 4.4</w:t>
      </w:r>
    </w:p>
    <w:p>
      <w:r>
        <w:t>Das Bundesverwaltungsgericht kommt somit nach dem Gesagten zum Schluss, dass die Ausführungen in der Beschwerde nicht geeig-net sind, die Erwägungen der Vorinstanz zu entkräften. Die Vorbringen des Beschwerdeführers sind insgesamt unglaubhaft und genügen den Anforderungen von Art. 7 AsylG nicht. Demzufolge hat das BFM zu Recht die Flüchtlingseigenschaft des Beschwerdeführers verneint und das Asylgesuch abgelehnt. An dieser Einschätzung vermögen auch die eingereichten Beweismittel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Die Wegweisung aus der Schweiz wird unter anderem dann nicht verfügt, wenn die asylsuchende Person im Besitze einer gültigen Aufenthalts- oder Niederlassungsbewilligung ist oder einen Anspruch auf eine solche Bewilligung hat (vgl. Art. 32 Bst. a der Asylverordnung 1 vom 11. August 1999 über Verfahrensfragen [AsylV 1, SR 142.311]). Trotz hängigem Asylverfahren kann eine asylsuchende Person ein Verfahren um Erteilung einer ausländerrechtlichen Aufenthaltsbewilligung einleiten, wenn ein Anspruch auf deren Erteilung besteht (Art. 14 Abs. 1 AsylG). Ist ein grundsätzlicher Anspruch auf Erteilung einer Aufenthaltsbewilligung gegeben, fällt die konkrete Beurteilung des geltend gemachten Anspruchs und damit der Entscheid über die Wegweisung in die Zuständigkeit der ausländerrechtlichen Behörden (vgl. Entscheidungen und Mitteilungen der Schweizerischen Asylrekurskommission [EMARK] 2001 Nr. 21).</w:t>
      </w:r>
    </w:p>
    <w:p>
      <w:r>
        <w:rPr>
          <w:b/>
        </w:rPr>
        <w:t>E. 5.2</w:t>
      </w:r>
    </w:p>
    <w:p>
      <w:r>
        <w:t>Aus den Akten ergibt sich, dass der Beschwerdeführer am 10. Juni 2010 eine Schweizer Bürgerin geheiratet hat. Gemäss Mutationsmeldung der zuständigen kantonalen Behörde vom 15. Juni 2010 wurde der Beschwerdeführer bereits an den Kanton des entsprechen-den Wohnsitzes seiner Ehefrau abgemeldet. Zudem stellte die F._______ dem Beschwerdeführer am 22. Juli 2010 eine Wohnsitz-bestätigung aus, in welcher zusätzlich angemerkt wurde, dass dieser beim (...) bereits ein Gesuch um Erteilung einer B-Bewilligung gestellt hat. Mithin ist von der Einleitung eines Verfahrens um Erteilung einer ausländerrechtlichen Aufenthaltsbewilligung auszugehen, welches pendent sein dürfte. Da bisher kein abschliessender Entscheid zur Frage der Erteilung der beantragten ausländerrechtlichen Aufenthaltsbewilligung vorliegt, hat das Bundesverwaltungsgericht - im Sinne der zitierten Praxis nach EMARK 2001 Nr. 21 - im Rahmen einer vorfrageweisen Prüfung zu klären, ob der Beschwerdeführer zu-mindest im Grundsatz über einen Anspruch auf Erteilung einer ausländerrechtlichen Bewilligung verfügt, was ohne weiteres zu bejahen ist (vgl. Art. 42 Abs. 1 des Bundesgesetzes vom 16. Dezember 2005 über die Ausländerinnen und Ausländer [AuG, SR 142.20]), weshalb die vom BFM verfügte Wegweisung (Ziffer 3 des Dispositivs der angefochtenen Verfügung) praxisgemäss aufzuheben ist.</w:t>
      </w:r>
    </w:p>
    <w:p>
      <w:r>
        <w:rPr>
          <w:b/>
        </w:rPr>
        <w:t>E. 5.3</w:t>
      </w:r>
    </w:p>
    <w:p>
      <w:r>
        <w:t>Nachdem die Anordnung der Wegweisung aufzuheben ist, fällt die Grundlage für den Wegweisungsvollzug dahin, weshalb die diesbezüglichen Anordnungen (Ziffern 4 und 5 des Dispositivs der angefoch-tenen Verfügung) ebenfalls aufzuheben sind.</w:t>
      </w:r>
    </w:p>
    <w:p>
      <w:r>
        <w:rPr>
          <w:b/>
        </w:rPr>
        <w:t>E. 6</w:t>
      </w:r>
    </w:p>
    <w:p>
      <w:r>
        <w:t>Nach den vorstehenden Erwägungen ist die Beschwerde hinsichtlich der Frage der Flüchtlingseigenschaft und des Asyls (Ziffn. 1 und 2 der angefochtenen Verfügung) abzuweisen. Hinsichtlich der Wegweisung und deren Vollzug ist die Beschwerde im Sinne obiger Erwägungen gutzuheissen (sie würde im Sinne der Praxis gemäss EMARK 2001 Nr. 21 in diesem Punkt nur dann gegenstandslos, wenn die beantragte Aufenthaltsbewilligung bereits erteilt worden wäre), und die Ziffern 3 bis 5 des Dispositivs der angefochtenen Verfügung sind aufzuheben.</w:t>
      </w:r>
    </w:p>
    <w:p>
      <w:r>
        <w:rPr>
          <w:b/>
        </w:rPr>
        <w:t>E. 7</w:t>
      </w:r>
    </w:p>
    <w:p>
      <w:r>
        <w:t>Der Beschwerdeführer ist im vorliegenden Verfahren unterlegen, soweit es um die Anerkennung der Flüchtlingseigenschaft und die Gewährung des Asyls geht, weshalb er insoweit kostenpflichtig wird (vgl. Art. 63 Abs. 1 VwVG). Das Bundesverwaltungsgericht veranschlagt im Asylbeschwerdeverfahren bei Konstellationen wie in casu das partielle Unterliegen mit der Hälfte. Dem Beschwerdeführer sind somit die hälftigen Kosten von Fr. 300.- aufzuerlegen und mit dem am 4. Mai 2010 geleisteten Kostenvorschuss von Fr. 600.- zu verrechnen. Der überschüssige Betrag von Fr. 300.- ist ihm grundsätzlich zurückzuerstatten.</w:t>
      </w:r>
    </w:p>
    <w:p>
      <w:r>
        <w:rPr>
          <w:b/>
        </w:rPr>
        <w:t>E. 8</w:t>
      </w:r>
    </w:p>
    <w:p>
      <w:r>
        <w:t>Dem Beschwerdeführer ist - als teilweise obsiegende Partei - für die ihm im Beschwerdeverfahren erwachsenen notwendigen Kosten eine praxisgemäss um die Hälfte zu reduzierende Parteientschädigung zuzusprechen (vgl. Art. 64 Abs. 1 VwVG sowie Art. 16 Abs. 1 Bst. a VGG i.V.m. Art. 7 Abs. 2 des Reglements vom 21. Februar 2008 über die Kosten und Entschädigungen vor dem Bundesverwaltungsgericht (VGKE, SR 173.320.2). Eine Kostennote wurde bisher nicht zu den Akten gereicht. Auf das Nachfordern einer solchen kann indes verzichtet werden, da sich der notwendige Vertretungsaufwand aufgrund der Akten hinreichend zuverlässig abschätzen lässt; mithin ist der im Rahmen der Rechtsmitteleingabe im Falle einer Gutheissung der Verwaltungsbeschwerde gestellte Antrag um Ansetzung einer Frist zur Einreichung einer Kostennote abzuweisen. Gestützt auf die in Betracht zu ziehenden Bemessungsfaktoren (Art. 9-13 VGKE) ist dem Beschwerdeführer demzufolge zu Lasten der Vorinstanz eine reduzierte Parteientschädigung von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