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D-2112/2025 vom 18. März 2025</w:t>
      </w:r>
    </w:p>
    <w:p>
      <w:r>
        <w:t>Bundesverwaltungsgericht, 2025-03-18, DE</w:t>
      </w:r>
    </w:p>
    <w:p>
      <w:r>
        <w:rPr>
          <w:b/>
        </w:rPr>
        <w:t xml:space="preserve">Quelle: </w:t>
      </w:r>
      <w:r>
        <w:t>https://mcp.opencaselaw.ch/entscheid/bvger_D-2112_2025_d20250318</w:t>
      </w:r>
    </w:p>
    <w:p>
      <w:r>
        <w:t>FR: TAF D-2112/2025 du 18 mars 2025</w:t>
      </w:r>
    </w:p>
    <w:p>
      <w:r>
        <w:t>IT: TAF D-2112/2025 del 18 marzo 2025</w:t>
      </w:r>
    </w:p>
    <w:p>
      <w:pPr>
        <w:pStyle w:val="Heading2"/>
      </w:pPr>
      <w:r>
        <w:t>Regeste</w:t>
      </w:r>
    </w:p>
    <w:p>
      <w:r>
        <w:t>Asyl und Wegweisung (beschleunigtes Verfahren) | Asyl und Wegweisung (beschleunigtes Verfahren); Verfügung des SEM vom 18.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hier – endgültig (Art. 105 AsylG [SR 142.31]; Art. 83 Bst. d Ziff. 1 BGG).</w:t>
      </w:r>
    </w:p>
    <w:p>
      <w:r>
        <w:t>D-2112/2025 Seite 5</w:t>
      </w:r>
    </w:p>
    <w:p>
      <w:r>
        <w:rPr>
          <w:b/>
        </w:rPr>
        <w:t>E. 1.2</w:t>
      </w:r>
    </w:p>
    <w:p>
      <w:r>
        <w:t>Die Beschwerde ist nicht in einer Amtssprache des Bundes abgefasst. Auf die Ansetzung einer Frist zur Beschwerdeverbesserung kann indessen aus verfahrensökonomischen Gründen verzichtet werden, zumal der in Englisch verfassten Beschwerdeeingabe hinreichend klare sinngemässe Rechtsbegehren samt deren Begründung zu entnehmen sind, weshalb ohne Weiteres darüber befunden werden kann.</w:t>
      </w:r>
    </w:p>
    <w:p>
      <w:r>
        <w:rPr>
          <w:b/>
        </w:rPr>
        <w:t>E. 1.3</w:t>
      </w:r>
    </w:p>
    <w:p>
      <w:r>
        <w:t>Die (eigenhändig geschriebene) Beschwerde enthält zwar keine Unter- schrift. Auf die Ansetzung einer Nachfrist zur Einholung einer Beschwerde- verbesserung kann aber verzichtet werden, da der Name des Beschwer- deführers eingangs der Beschwerde handschriftlich vermerkt ist und das Schriftbild der Beschwerde insgesamt mit den vorinstanzlichen Akten (vgl. insbesondere Personalienblatt; SEM act. 1377021-2) übereinstimmt, so dass dem Beschwerdeführer der Inhalt der Beschwerde ohne Weiteres zu- geordnet werden kann.</w:t>
      </w:r>
    </w:p>
    <w:p>
      <w:r>
        <w:rPr>
          <w:b/>
        </w:rPr>
        <w:t>E. 1.4</w:t>
      </w:r>
    </w:p>
    <w:p>
      <w:r>
        <w:t>Die Beschwerde ist insofern form- und fristgerecht eingereicht worden. Der Beschwerdeführer ist als Verfügungsadressat zur Einreichung der Be- schwerde legitimiert (Art. 105 und Art. 108 Abs. 3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ist im Verfahren einzelrichterlicher Zuständigkeit mit Zu- stimmung eines zweiten Richters oder einer zweiten Richterin zu behan- deln, da sie sich im Ergebnis als offensichtlich unbegründet erweist (Art. 111 Bst. e AsylG). Gestützt auf Art. 111a Abs. 1 AsylG wurde auf einen Schriftenwechsel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D-2112/2025 Seite 6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damit, die Vorbringen würden die Anforderungen an die Glaubhaftmachung gemäss Art. 7 AsylG nicht erfüllen. Der Beschwerdeführer sei nicht in der Lage, Gründe für seine angeblichen Probleme und die daraus resultierende Verfolgung anzugeben. Trotz mehr- maligen Nachfragens habe er ausser der Behauptung, er sei wegen sei- nem Bruder E._______, der die PDP unterstützt habe und fälschlicher- weise beschuldigt worden sei, für den Tod eines APC-Mitglieds verantwort- lich zu sein, keine konkreten Anhaltspunkte für eine Verfolgung angeben können. So sei etwa seine Beschreibung, wie der Überfall in der Wohnung sich abgespielt habe und wie es zu seiner Flucht gekommen sei, vage aus- gefallen. Der Beschwerdeführer sei nicht in der Lage gewesen, detailliert darüber zu berichten und die Reaktionen und Handlungen der anwesen- den Personen zu beschreiben. Trotz mehrerer Nachfragen habe er nur in einer allgemeinen Form darstellen können, was sich angeblich in jener Nacht zugetragen habe. Seine Aussagen würden eine persönliche Ausei- nandersetzung mit diesem Thema vermissen lassen, was aber von einer Person, die angeblich ein solch einschneidendes Erlebnis durchlebt habe, hätte erwartet werden können. Auch seine Darstellung, wie der Kontakt mit seiner Schwester abgelaufen sei und was er von ihr erfahren habe, habe er nur allgemein und ohne Detailreichtum schildern können. Auch der Grund, warum jene Angreifer nun auch ihn suchen würden, sei knapp aus- gefallen. Auch seine Darstellung, wie er fünf Tage später in seinem Ge- schäft überfallen worden sei und wie ihm trotz Verletzung die Flucht gelun- gen sei, sei rudimentär. Auch habe er nur auf eine allgemeine Art und Weise darzustellen vermocht, wie er sich nach dem letzten Vorfall versteckt und in der Folge zur Ausreise entschlossen habe. Trotz mehrerer Fragen seien seine Aussagen allgemein geblieben und er sei nicht in der Lage</w:t>
      </w:r>
    </w:p>
    <w:p>
      <w:r>
        <w:t>D-2112/2025 Seite 7 gewesen, Frau-gen, die seine persönlichen Erlebnisse betroffen hätten, anschaulich zu beantworten. Gesamthaft betrachtet erschöpften sich seine Aussagen in Allgemeinplätzen, die in dieser Form ohne weiteres von ir- gendjemandem nacherzählt werden könnten. Die einfach gehaltene Sach- verhaltsdarstellung in dieser Form sei mit der erfahrungsgemäss um ein Vielfaches komplexeren Wirklichkeit in keiner Art und Weise zu vereinba- ren. Gesuchstellende, die in ihrem Heimatland tatsächlich Probleme hätten und gesucht würden, könnten detailliert und auf eine persönliche Art und Weise darüber berichten. Auch könnten sie ihre diesbezüglichen Erfahrun- gen beziehungsweise Befürchtungen sowie Ängste anschaulich schildern. Im Falle des Beschwerdeführers würden weder persönliche Betroffenheit noch subjektives Empfinden das Geschilderte untermauern. Entgegen der in der Stellungnahme seiner (damaligen) Rechtsvertretung geäusserten Auffassung habe er in der Anhörung ausreichend Gelegenheit gehabt, die Ausreisegründe aus Nigeria darzulegen. Er habe denn auf Nachfrage auch zur Antwort gegeben, dass er von allem habe berichten können.</w:t>
      </w:r>
    </w:p>
    <w:p>
      <w:r>
        <w:rPr>
          <w:b/>
        </w:rPr>
        <w:t>E. 5.2</w:t>
      </w:r>
    </w:p>
    <w:p>
      <w:r>
        <w:t>Der Beschwerdeführer hielt demgegenüber in der Beschwerde daran fest, dass ihm zu glauben sei, wobei er im Wesentlichen den bei der Anhö- rung geschilderten Sachverhalt (vgl. Bst. C. hiervor) wiederholte. Ergän- zend führte er aus, nachdem er von den drei Personen an seinem Arbeits- platz angegriffen worden sei und sich in der Folge an verschiedenen Orten habe versteckt halten müssen, habe er sich an eines der drei Gesichter jener Angreifer erinnern können. Daraufhin habe er das Gewehr seines Bruders geholt und auf jenen Angreifer in dessen Gegend gewartet und diesen schliesslich mit zwei Schüssen in die Brust getötet. Nachdem er erfahren habe, dass die Polizei nach ihm suche, sei er aus Nigeria geflo- hen. Er habe bei den Befragungen durch das SEM nicht darüber berichten können, dass er einen Menschen umgebracht habe, weil die dolmetschen- den Personen alles Nigerianer gewesen seien und er sich nicht in Sicher- heit gefühlt habe. Er könne nicht nach Nigeria zurückkehren, weil er sonst ebenso wie sein Bruder E._______ umgebracht würde.</w:t>
      </w:r>
    </w:p>
    <w:p>
      <w:r>
        <w:rPr>
          <w:b/>
        </w:rPr>
        <w:t>E. 6.1</w:t>
      </w:r>
    </w:p>
    <w:p>
      <w:r>
        <w:t>Die Vorinstanz hat die Vorbringen des Beschwerdeführers in der ange- fochtenen Verfügung mit überzeugender Begründung als nicht glaubhaft qualifiziert. Zur Vermeidung von Wiederholungen kann auf die Erwägun- gen in der angefochtenen Verfügung sowie auf E. 5.1 hiervor verwiesen werden. Die Ausführungen in der Beschwerde führen zu keiner anderen</w:t>
      </w:r>
    </w:p>
    <w:p>
      <w:r>
        <w:t>D-2112/2025 Seite 8 Betrachtungsweise, zumal eine eigentliche Auseinandersetzung und Begründung, weshalb die Erwägungen der Vorinstanz und die Schlussfol- gerung, dass die Vorbringen unglaubhaft seien, fehlen.</w:t>
      </w:r>
    </w:p>
    <w:p>
      <w:r>
        <w:rPr>
          <w:b/>
        </w:rPr>
        <w:t>E. 6.2</w:t>
      </w:r>
    </w:p>
    <w:p>
      <w:r>
        <w:t>Soweit der Beschwerdeführer in der Beschwerde ergänzend ausführt, er sei an seiner Arbeitsstelle von einigen Typen («some guys») an der Hand (und am Rücken) verletzt worden und habe sich deswegen im Spital behandeln lassen müssen, setzt er sich er damit in Widerspruch zu seinen Ausführungen in der Anhörung, wonach er am Arm (und an der Schulter) verletzt worden sei (vgl. SEM act. 1377021-46, F142; F105, 175-178). Zudem gab er bei der Anhörung an, die Angreifer seien zu zweit ge- kommen (vgl. SEM act. 1377021-46 F143), wogegen er in der Beschwerde ausführt, es seien drei Personen gewesen, welche ihn an seinem Arbeitsplatz angegriffen hätten. Nicht nachvollziehbar ist ausserdem, wie der Beschwerdeführer – der angeblich beim Eintreffen der Angreifer unter dem Auto lag – einen der Angreifer hätte erblicken und erkennen können, zumal er seinen Angaben nach umgehend nach dem Angriff flüchtete. Seine Angaben, wo er auf die erkannte Person gewartet habe und um wen es sich dabei gehandelt haben soll, bleiben denn auch derart vage und unsubstantiert, dass der auf Beschwerdeebene erstmals vorgebrachte Sachverhalt, er habe einen der Angreifer erkannt und später umgebracht, als nachgeschoben und unglaubhaft zu erachten ist. Die Begründung des Beschwerdeführers, er habe sich an der Anhörung im Beisein der nigerianischen Dolmetscher nicht getraut anzugeben, dass er jemanden umgebracht habe, vermag daran nichts zu ändern und ist als blosse Schutzbehauptung zu erachten.</w:t>
      </w:r>
    </w:p>
    <w:p>
      <w:r>
        <w:rPr>
          <w:b/>
        </w:rPr>
        <w:t>E. 6.3</w:t>
      </w:r>
    </w:p>
    <w:p>
      <w:r>
        <w:t>Insgesamt vermag die Beschwerde den vorinstanzlichen Erwägungen nichts Substantielles entgegenzusetzen. Die Beschwerdeausführungen vermögen die Einschätzung der Vorinstanz nicht umzustossen und keine asylrechtlich relevante Verfolgung begründet erscheinen zu lassen.</w:t>
      </w:r>
    </w:p>
    <w:p>
      <w:r>
        <w:rPr>
          <w:b/>
        </w:rPr>
        <w:t>E. 6.4</w:t>
      </w:r>
    </w:p>
    <w:p>
      <w:r>
        <w:t>Aufgrund des Gesagten hat die Vorinstanz die Flüchtlingseigenschaft des Beschwerdeführers zu Recht verneint und sein Asylgesuch folgerichtig abgelehnt.</w:t>
      </w:r>
    </w:p>
    <w:p>
      <w:r>
        <w:rPr>
          <w:b/>
        </w:rPr>
        <w:t>E. 7.1</w:t>
      </w:r>
    </w:p>
    <w:p>
      <w:r>
        <w:t>Lehnt das SEM das Asylgesuch ab, so verfügt es in der Regel die Weg- weisung aus der Schweiz und ordnet den Vollzug an; es berücksichtigt da- bei den Grundsatz der Einheit der Familie (Art. 44 AsylG).</w:t>
      </w:r>
    </w:p>
    <w:p>
      <w:r>
        <w:t>D-2112/2025 Seite 9</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w:t>
      </w:r>
    </w:p>
    <w:p>
      <w:r>
        <w:t>D-2112/2025 Seite 10 Anwendung finden. Eine Rückkehr des Beschwerdeführers nach Nigeria ist demnach unter dem Aspekt von Art. 5 AsylG rechtmässig. Sodann ergeben sich weder aus seinen Aussagen noch aus den Akten An- haltspunkte dafür, dass der Beschwerdeführer für den Fall einer Ausschaf- fung nach Nigeria dort mit beachtlicher Wahrscheinlichkeit einer nach Art. 3 EMRK oder Art. 1 FoK verbotenen Strafe oder Behandlung ausgesetzt wäre. Gemäss Praxis des Europäischen Gerichtshofes für Menschen- rechte (EGMR) sowie jener des UN-Anti-Folterausschusses müsste er eine konkrete Gefahr («real risk») nachweisen oder glaubhaft machen, dass ihm im Fall einer Rückschiebung Folter oder unmenschliche Behandlung dro- hen würde (vgl. Urteil des EGMR Saadi gegen Italien 28. Februar 2008, Grosse Kammer 37201/06, §§ 124–127 m.w.H.). Es bestehen keine stich- haltigen Gründe für die Annahme, der Beschwerdeführer würde nach einer Rückkehr in sein Heimatland einer menschenrechtswidrigen Behandlung unterzogen. Auch die allgemeine Menschenrechtssituation in Nigeria lässt den Wegweisungsvollzug zum heutigen Zeitpunkt nicht als unzulässig er- scheinen. Der Vollzug der Wegweisung ist sowohl im Sinne der landes-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anzuordnen. In Nigeria herrscht keine Situation allgemeiner Gewalt und die allgemeine Lage lässt nicht auf eine konkrete Gefährdung im Falle einer Rückkehr schliessen. Der Wegweisungsvollzug nach Nigeria ist nach geltender Pra- xis grundsätzlich zumutbar (vgl. von vielen Urteil des BVGer E-2694/2024 vom 25. Juni 2024 E. 7.3). Es sind vorliegend auch keine individuellen Gründe ersichtlich, welche ge- gen den Wegweisungsvollzug sprechen würden. Beim Beschwerdeführer handelt es sich um einen den Akten zufolge gesunden Mann mit einer gu- ten Schulbildung. Auch verfügt der Beschwerdeführer über Arbeitserfah- rung und mit seiner Mutter und seiner Schwester verfügt er in Nigeria über ein bestehendes Beziehungsnetz, so dass nicht davon auszugehen ist, dass der Beschwerdeführer bei einer Rückkehr nach Nigeria aus sozialen oder wirtschaftlichen Gründen in eine existenzielle Notlage geraten wird.</w:t>
      </w:r>
    </w:p>
    <w:p>
      <w:r>
        <w:t>D-2112/2025 Seite 11 Es bestehen keine Wegweisungsvollzugshindernisse und solche wurden in der Beschwerde auch nicht geltend gemacht. Der Vollzug der Wegweisung erweist sich nach dem Gesagten als zumut- bar.</w:t>
      </w:r>
    </w:p>
    <w:p>
      <w:r>
        <w:rPr>
          <w:b/>
        </w:rPr>
        <w:t>E. 8.5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 lich zu bezeichnen ist (Art. 83 Abs. 2 AIG).</w:t>
      </w:r>
    </w:p>
    <w:p>
      <w:r>
        <w:rPr>
          <w:b/>
        </w:rPr>
        <w:t>E. 8.6</w:t>
      </w:r>
    </w:p>
    <w:p>
      <w:r>
        <w:t>Zusammenfassend hat das SEM den Wegweisungsvollzug zu Recht als zulässig, zumutbar und möglich bezeichnet. Die Anordnung der vorläu- 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(Dispositiv nächste Seite)</w:t>
      </w:r>
    </w:p>
    <w:p>
      <w:r>
        <w:t>D-2112/2025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