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D-2110/2013 vom 31. Mai 2013</w:t>
      </w:r>
    </w:p>
    <w:p>
      <w:r>
        <w:t>Bundesverwaltungsgericht, 2013-05-31, DE</w:t>
      </w:r>
    </w:p>
    <w:p>
      <w:r>
        <w:rPr>
          <w:b/>
        </w:rPr>
        <w:t xml:space="preserve">Quelle: </w:t>
      </w:r>
      <w:r>
        <w:t>https://mcp.opencaselaw.ch/entscheid/bvger_D-2110_2013</w:t>
      </w:r>
    </w:p>
    <w:p>
      <w:r>
        <w:t>FR: TAF D-2110/2013 du 31 mai 2013</w:t>
      </w:r>
    </w:p>
    <w:p>
      <w:r>
        <w:t>IT: TAF D-2110/2013 del 31 maggio 2013</w:t>
      </w:r>
    </w:p>
    <w:p>
      <w:pPr>
        <w:pStyle w:val="Heading2"/>
      </w:pPr>
      <w:r>
        <w:t>Regeste</w:t>
      </w:r>
    </w:p>
    <w:p>
      <w:r>
        <w:t>Familienzusammenführung (Asyl)</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des legitimierten Beschwerdeführers ist einzutreten (vgl. dazu Art. 108 Abs. 1 AsylG, Art. 52 Abs. 1 VwVG sowie Art. 48 Abs. 1 VwVG).</w:t>
      </w:r>
    </w:p>
    <w:p>
      <w:r>
        <w:rPr>
          <w:b/>
        </w:rPr>
        <w:t>E. 1.5</w:t>
      </w:r>
    </w:p>
    <w:p>
      <w:r>
        <w:t>Aufgrund der Aktenlage ist auf die Durchführung eines Schriftenwechsels zu verzichten (Art. 111a Abs. 1 AsylG).</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Art. 51 Abs. 4 AsylG bestimmt sodann,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alleine die Wiedervereinigung von vorbestandenen Familiengemeinschaften.</w:t>
      </w:r>
    </w:p>
    <w:p>
      <w:r>
        <w:rPr>
          <w:b/>
        </w:rPr>
        <w:t>E. 3.1</w:t>
      </w:r>
    </w:p>
    <w:p>
      <w:r>
        <w:t>Im angefochtenen Entscheid gelangt das BFM zum Schluss, aufgrund der Aktenlage seien die Anforderungen von Art. 51 Abs. 1 und 4 AsylG nicht erfüllt. Dabei hält das Bundesamt vorab fest, keine Einreisebewilligung werde Personen erteilt, welche zum Zeitpunkt der Flucht des originären Flüchtlings mit diesem noch keine effektiv gelebte familiäre Beziehung gehabt oder keine solche mehr unterhalten hätten. Der Beschwerdeführer habe anlässlich seiner Gesuchseinreichung erklärt, er sei ledig und er habe keine Kinder, und unter der Rubrik "Familienangehörige" habe er auch seine Freundin und angebliche Mutter des gemeinsamen Kindes nicht erwähnt. Damit sei nicht erstellt, dass D._______ sein Kind sei, zumal den vorgelegten Beweismitteln über das geltend gemachte Kindsverhältnis (Geburtsregisterauszug und Taufschein) bloss ein geringer Beweiswert zukomme. Darüber hinaus sei den Akten auch kein Hinweis darauf zu entnehmen, dass er mit der angeblichen Freundin und dem Kind vor der Flucht in einem gemeinsamen Haushalt gelebt hätte. Schliesslich könne der Beschwerdeführer auch aus der Bestimmung von Art. 51 Abs. 2 AsylG nichts für sich ableiten. Zwar sei in Bezug auf diese Bestimmung der Kreis der Anspruchsberechtigten grösser, alleine schwierige Verhältnisse in der Heimat würden aber für eine Zusammenführung mit anderen Angehörigen nicht genügen.</w:t>
      </w:r>
    </w:p>
    <w:p>
      <w:r>
        <w:rPr>
          <w:b/>
        </w:rPr>
        <w:t>E. 3.2</w:t>
      </w:r>
    </w:p>
    <w:p>
      <w:r>
        <w:t>Im Rahmen seiner Beschwerdebegründung bringt der Beschwerdeführer insbesondere vor, es treffe nicht zu, dass er mit E._______ nie zusammengelebt habe. Nur weil er 2007 von dritter Seite schlecht beraten worden sei, habe er anlässlich seiner Gesuchseinreichung angegeben, er habe keine Familie. Auch sei er fälschlicherweise davon ausgegangen, dass man nach einer Asylgewährung seine Familie nicht in die Schweiz bringen könne. Richtig sei indes, dass seine Beziehung zu E._______ im Jahre 2000 begonnen habe und seine Freundin im gleichen Jahr schwanger geworden sei. ... [Ende] 2000 habe sie das gemeinsame Kind geboren, und bis zur Einberufung in den Militärdienst im Jahre 2002 hätten sie alle zusammengewohnt. Danach sei E._______ für ein Jahr zu ihren Eltern nach F._______ gegangen. In den folgenden Jahren habe sie dann mit dem Kind abwechslungsweise bei seinen Eltern in B._______ und ihren Eltern in C._______ gelebt. Wenn er Urlaub vom Militärdienst bekommen habe, hätten sie die Zeit zusammen in B._______ bei seinen Eltern verbracht. Während seiner Flucht sei der Kontakt zu ihr abgerissen, nach seiner Ankunft in der Schweiz habe er jedoch von seinen Eltern am Telefon erfahren, dass sie sich wieder in F._______ aufhalte. Heute befinde sich E._______ im Sudan, und das gemeinsame Kind bei seinen Eltern in B._______. Er sei gewillt, jegliches Beweismittel beizubringen, namentlich auch eine DNA-Analyse. Entgegen dem Bundesamt sei zudem der vorgelegten Geburtsurkunde als Beweismittel ein hoher Stellenwert beizumessen, da diese von der Gemein­debehörde stamme und nur schwer zu beschaffen sei. Schliesslich sei auch zu berücksichtigen, dass ihm ein ständiges Zusammenleben aufgrund seines Militärdienstes gar nicht möglich gewesen sei, wie dies bei vielen eritreischen Familien der Fall sei. Da sein Kind schon in zwei Jahren zum Militärdienst eingezogen werden könnte und ihr im Militärdienst eine schlechte Behandlung drohe, und sich zudem seine eigenen Eltern alters- respektive krankheitsbedingt schon bald nicht mehr um das Kind kümmern könnten, ersuche er um Bewilligung der Einreise in die Schweiz.</w:t>
      </w:r>
    </w:p>
    <w:p>
      <w:r>
        <w:rPr>
          <w:b/>
        </w:rPr>
        <w:t>E. 4.1</w:t>
      </w:r>
    </w:p>
    <w:p>
      <w:r>
        <w:t>Wie vorstehend aufgezeigt ist für die Bewilligung der Einreise im Sinne von Art. 51 Abs. 4 AsylG zwingende Grundvoraussetzung, dass die Familienangehörigen durch die Flucht getrennt wurden. Aufgrund der Aktenlage besteht jedoch - wie vom BFM zu Recht erkannt - kein Anlass zur Annahme, der Beschwerdeführer habe mit dem Kind D._______ jemals in Sinne einer Familiengemeinschaft zusammengelebt.</w:t>
      </w:r>
    </w:p>
    <w:p>
      <w:r>
        <w:rPr>
          <w:b/>
        </w:rPr>
        <w:t>E. 4.2</w:t>
      </w:r>
    </w:p>
    <w:p>
      <w:r>
        <w:t>Auch wenn gewisse Zweifel berechtigt sind, so ist doch grundsätzlich vorstellbar, dass der Beschwerdeführer im Alter von noch nicht einmal sechzehn Jahren eine Beziehung zur von ihm als seine Freundin bezeichneten E._______ hatte, aus welcher das ... [Ende] 2000 geborene Kind D._______ entsprungen sei. Zwar stammt der Beschwerdeführer aus B._______ und E._______ soweit ersichtlich aus F._______, welches fast 400 Kilometer vom Heimatort des Beschwerdeführers entfernt liegt. Nachdem der Beschwerdeführer jedoch eigenen Angaben zufolge in F._______ über Verwandte verfügt, ist der geltend gemachte Kontakt im Jugendalter durchaus denkbar. Nachvollziehbare Hinweise darauf, er habe von 2000 bis 2001 und damit im Alter von nur sechzehn bis siebzehn Jahren mit E._______ und dem Kind in einer familiären Gemeinschaft zusammengelebt, bevor er noch vor Erreichung seiner Volljährigkeit per 1. Januar 2002 ins Militär eingezogen wurde, sind jedoch aufgrund der Aktenlage keine ersichtlich. Die anders lautenden Ausführungen auf Beschwerdeebene vermögen nicht zu überzeugen. Sie sind aufgrund der Aktenlage als nachgeschoben und damit unglaubhaft zu erkennen.</w:t>
      </w:r>
    </w:p>
    <w:p>
      <w:r>
        <w:rPr>
          <w:b/>
        </w:rPr>
        <w:t>E. 4.3</w:t>
      </w:r>
    </w:p>
    <w:p>
      <w:r>
        <w:t>Nachdem der Beschwerdeführer anlässlich der Gesuchseinreichung nichts über die erst jetzt geltend gemachte, angeblich über Jahre dauernde enge Verbindung zu E._______ berichtet hatte, hielt er sich zum Zeitpunkt des positiven Asylentscheides vom 18. Januar 2010 schon über zwei Jahre in der Schweiz auf. Es darf ohne weiteres davon ausgegangen werden, er hätte sich nach erfolgter Asylgewährung sehr rasch um den Nachzug seiner Familie bemüht, hätte er eine solche tatsächlich in der Heimat zurückgelassen. Spätestens nach diesem Zeitpunkt hätte für ihn kein Anlass mehr bestanden, seine familiären Verhältnisse weiterhin zu verschleiern. Das Vorbringen über eine angeblich fortdauernde Rechtsunkenntnis ist vor dem Hintergrund des damals schon zweijährigen Aufenthalts in der Schweiz als blosse Schutzbehauptung zu erkennen. Zudem hat der Beschwerdeführer vier Monate nach erfolgter Asylgewährung - am 12. Mai 2010 - durch einen mit Asylverfahrensfragen hinreichend vertrauten Rechtsvertreter um Akteneinsicht ersuchen lassen. Ein Familiennachzugsgesuch reichte er zu diesem Zeitpunkt aber nicht ein, sondern er gelangte mit einem solchen Gesuch erst zwei Jahre später - am 23. April 2012 - an das BFM. Dieses lange Zuwarten spricht sehr deutlich dagegen, dass er - wie erst jetzt geltend gemacht - der Freundin und dem Kind von 2000 bis zu seiner Flucht 2007 stets eng verbunden geblieben sei. Schliesslich können seine Ausführungen im Familiennachzugsgesuch vom 23. April 2012 nicht anders verstanden werden, als dass der Beschwerdeführer in der Heimat ein aus seiner Jugendzeit stammendes uneheliches Kind habe, welches er gerne in die Schweiz nachziehen möchte. Der Beschwerdeführer hätte jedoch mit Sicherheit spätestens zu diesem Zeitpunkt dem BFM offen gelegt, wenn er - wie erst jetzt behauptet - durch seine Einberufung in den Militärdienst und danach durch seine Flucht aus einer gelebten familiären Gemeinschaft mit E._______ und dem Kind D._______ herausgerissen worden wäre. Das Fehlen entsprechender Angaben spricht für sich. Zwar machte der Beschwerdeführer in seinem Gesuch vom 23. April 2012 geltend, E._______ habe seinetwegen Nachstellungen erlitten und sei während zweier Jahren inhaftiert gewesen, die diesbezüglichen Ausführungen wirken jedoch aufgesetzt respektive konstruiert und lassen keineswegs auf eine enge Bindung im später geltend gemachten Sinne schliessen. Dies umso weniger, als in der Beschwerdeeingabe der Verbleib der Freundin und des gemeinsamen Kindes vollkommen anders dargestellt wird.</w:t>
      </w:r>
    </w:p>
    <w:p>
      <w:r>
        <w:rPr>
          <w:b/>
        </w:rPr>
        <w:t>E. 4.4</w:t>
      </w:r>
    </w:p>
    <w:p>
      <w:r>
        <w:t>Nach dem Gesagten ist nicht auszuschliessend, dass das Kind D._______ aus einer ausserehelichen Jugendbeziehung des Beschwerdeführers stammt. Auf das Einholen der angebotenen Beweismittel zum geltend gemachten Kindsverhältnis kann dabei verzichtet werden, da alleine eine Vaterschaft für die Frage der beantragten Gewährung einer Einreisebewilligung nicht ausschlaggebend ist.</w:t>
      </w:r>
    </w:p>
    <w:p>
      <w:r>
        <w:rPr>
          <w:b/>
        </w:rPr>
        <w:t>E. 4.5</w:t>
      </w:r>
    </w:p>
    <w:p>
      <w:r>
        <w:t>In dieser Hinsicht bleibt nochmals festzuhalten, dass die Bestimmungen zum Familienasyl nach Art. 51 Abs. 1 und 4 AsylG weder zur Wiederaufnahme einer bereits in der Heimat abgebrochenen familiären Beziehung noch zur Aufnahme von neuen respektive von zuvor noch gar nicht gelebten familiären Beziehungen herangezogen werden können (vgl. für die langjährige Praxis: Entscheidungen und Mitteilungen der Schweizerischen Asylrekurskommission [EMARK] 2000 Nr. 11 E. 3b S. 89 sowie 2006 Nr. 8 E. 3.2 S. 94 f.). Das Institut des Familienasyls zielt somit nach der Konzeption des Gesetzes und ständigen Praxis alleine auf die Bewahrung bestehender Familiengemeinschaften ab, respektive auf deren Wiederherstellung, sollte es aufgrund der Fluchtumstände zu einer erzwungenen Trennung der Familie gekommen sein. Nach vorstehenden Erwägungen sind diese Anforderung in Bezug auf das Kind D._______ nicht erfüllt.</w:t>
      </w:r>
    </w:p>
    <w:p>
      <w:r>
        <w:rPr>
          <w:b/>
        </w:rPr>
        <w:t>E. 4.6</w:t>
      </w:r>
    </w:p>
    <w:p>
      <w:r>
        <w:t>Die Asylgesetzgebung bietet dem Beschwerdeführer keine weitere respektive andere Handhabe, um das Kind D._______ in die Schweiz nachzuziehen. Sollte er am Vorhaben des Nachzuges festhalten wollen, so ist er an die für ihn zuständige kantonale Behörde zu verweisen, welche für die Beurteilung des Familiennachzuges nach den ausländerrechtlichen Bestimmungen zuständig ist (vgl. dazu wiederum EMARK 2006 Nr. 8 E. 3.2 [S. 95, zweitletzter Absatz]).</w:t>
      </w:r>
    </w:p>
    <w:p>
      <w:r>
        <w:rPr>
          <w:b/>
        </w:rPr>
        <w:t>E. 5</w:t>
      </w:r>
    </w:p>
    <w:p>
      <w:r>
        <w:t>Nach dem Gesagten ergibt sich, dass das BFM zu Recht das Gesuch Familiennachzug respektive um Bewilligung der Einreise in die Schweiz und Einbezug in die Flüchtlingseigenschaft gemäss Art. 51 Abs. 1 und 4 AsylG abgelehnt hat. Die angefochtene Verfügung ist daher zu bestätigen und die Beschwerde abzuweisen.</w:t>
      </w:r>
    </w:p>
    <w:p>
      <w:r>
        <w:rPr>
          <w:b/>
        </w:rPr>
        <w:t>E. 6</w:t>
      </w:r>
    </w:p>
    <w:p>
      <w:r>
        <w:t>Mit dem vorliegenden Entscheid wird das Gesuch um Befreiung von der Kostenvorschusspflicht (gemäss Art. 63 Abs. 4 VwVG) gegenstandslos. Nach der Abweisung der Beschwerde wären dem Beschwerdeführer grundsätzlich Kosten aufzuerlegen (vgl. dazu Art. 63 Abs. 1 VwVG). In Gutheissung des Gesuchs um Gewährung der unentgeltlichen Rechtspflege (im Sinne von Art. 65 Abs. 1 VwVG) wird jedoch auf das Erheben von Verfahrenskosten verzichtet, zumal das Verfahren nicht als von vornherein aussichtslos zu bezeichnen war und der Beschwerdeführer als bedürftig gilt, zumal er erst seit wenigen Tagen einer Erwerbstätigkeit nachgeht.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