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D-2103/2013 vom 25. April 2013</w:t>
      </w:r>
    </w:p>
    <w:p>
      <w:r>
        <w:t>Bundesverwaltungsgericht, 2013-04-25, DE</w:t>
      </w:r>
    </w:p>
    <w:p>
      <w:r>
        <w:rPr>
          <w:b/>
        </w:rPr>
        <w:t xml:space="preserve">Quelle: </w:t>
      </w:r>
      <w:r>
        <w:t>https://mcp.opencaselaw.ch/entscheid/bvger_D-2103_2013</w:t>
      </w:r>
    </w:p>
    <w:p>
      <w:r>
        <w:t>FR: TAF D-2103/2013 du 25 avril 2013</w:t>
      </w:r>
    </w:p>
    <w:p>
      <w:r>
        <w:t>IT: TAF D-2103/2013 del 25 aprile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ausschliesslich gegen den von der Vorinstanz angeordneten Vollzug der Wegweisung. Die Verfügung des BFM vom 8. April 2013 ist, soweit sie die Frage des Nichteintretens auf das Asylgesuch betrifft (Ziff. 1 des Dispositivs der angefochtenen Verfügung) in Rechtskraft erwachsen. Auch ist die Anordnung der Wegweisung als solche (Ziff. 2 des Dispositivs) grundsätzlich nicht mehr zu überprüfen (vgl. Entscheidungen und Mitteilungen der Schweizerischen Asylrekurskommission [EMARK] 2001 Nr. 21). Gegenstand des Beschwerdeverfahrens bildet somit lediglich die Frage, ob die Wegweisung zu vollziehen oder ob anstelle des Vollzugs eine vorläufige Aufnahme anzuordnen ist.</w:t>
      </w:r>
    </w:p>
    <w:p>
      <w:r>
        <w:rPr>
          <w:b/>
        </w:rPr>
        <w:t>E. 4</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 Gestützt auf Art. 111a Abs. 1 AsylG wurde auf einen Schriftenwechsel verzichtet.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Bezüglich der Geltendmachung von Wegweisungshindernissen gilt gemäss ständiger Praxis das gleiche Beweismass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w:t>
      </w:r>
    </w:p>
    <w:p>
      <w:r>
        <w:t>Vorliegend erging ein Nichteintreten auf das Asylgesuch. Asylgewährung und Zuerkennung der Flüchtlingseigenschaft bildeten nicht Gegenstand des Verfahrens, mithin kann der in Art. 5 AsylG verankerte Grundsatz der Nichtrückschiebung im vorliegenden Verfahren keine Anwendung finden. Eine Rückkehr des Beschwerdeführers in den Heimatstaat ist demnach unter dem Aspekt von Art. 5 AsylG rechtmässig.</w:t>
      </w:r>
    </w:p>
    <w:p>
      <w:r>
        <w:rPr>
          <w:b/>
        </w:rPr>
        <w:t>E. 6.3</w:t>
      </w:r>
    </w:p>
    <w:p>
      <w:r>
        <w:t>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In Bezug auf die allgemeine Lage in Afghanistan kann auf die vom Bundesverwaltungsgericht in BVGE 2011/7 vorgenommene Einschätzung der Lage verwiesen werden. Das Gericht stellt darin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Der Vollzug der Wegweisung dorthin könne unter Umständen als zumutbar qualifiziert werden. Solche Umstände könnten grundsätzlich namentlich dann gegeben sein, wenn es sich beim Rückkehrer um einen jungen, gesunden Mann handle. Indessen müssten die bereits in EMARK 2003 Nr. 10 formulierten strengen Bedingungen in jedem Einzelfall sorgfältig geprüft und erfüllt sein, um einen Wegweisungsvollzug nach Kabul als zumutbar zu qualifizieren. Unabdingbar sei in erster Linie ein soziales Netz, das sich im Hinblick auf die Aufnahme und Wiedereingliederung des Rückkehrers als tragfähig erweise (vgl. BVGE 2011/7 E. 9.2 - 9.9 S. 89 ff.).</w:t>
      </w:r>
    </w:p>
    <w:p>
      <w:r>
        <w:rPr>
          <w:b/>
        </w:rPr>
        <w:t>E. 6.4.3</w:t>
      </w:r>
    </w:p>
    <w:p>
      <w:r>
        <w:t>In seinem Urteil vom 24. Juli 2012 hielt das Bundesverwaltungsgericht fest, der ledige - und soweit aktenkundig - gesunde Beschwerdeführer habe finanzielle Gründe für seine Ausreise aus dem Heimatland klar in Abrede gestellt (vgl. BFM-Protokoll A 1 S. 3, A 8 S. 7). Ebenfalls gehe aus den Akten hervor, dass er im Falle einer Rückkehr nach B.______ dort auf ein relativ umfangreiches Beziehungsnetz von Verwandten und Bekannten zurückgreifen könne und nicht wie in der Vernehmlassung zum Ausdruck gebracht, bloss über seinen Onkel mütterlicherseits verfüge (vgl. A 8 S. 8). Die Angaben des Beschwerdeführers in seiner Replik vom 8. August 2011, wonach seine Mutter und seine Brüder nicht mehr in B._______ seien und sich die Lebensumstände des Onkels in Kabul den letzten Jahren verschlechtert hätten, erachtete das Bundesverwaltungsgericht als unbelegte Behauptungen, welche nicht geeignet seien, eine wesentlich veränderte Situation hinsichtlich der familiären, gesellschaftlichen und wirtschaftlichen Verhältnisse des Beschwerdeführers in Afghanistan seit seiner Ausreise darzutun. Auf diese Einschätzung verwies das BFM in der angefochtenen Verfügung vom 8. April 2013. Es hielt hinsichtlich des Wegweisungsvollzugs unter anderem fest, dass der Beschwerdeführer in B.______ über ein umfangreiches verwandtschaftliches und soziales Beziehungsnetz verfüge, so dass nicht damit zu rechnen sei, dass er bei seiner Rückkehr in eine seine Existenz gefährdende Notlage geraten werde.</w:t>
      </w:r>
    </w:p>
    <w:p>
      <w:r>
        <w:rPr>
          <w:b/>
        </w:rPr>
        <w:t>E. 6.4.4</w:t>
      </w:r>
    </w:p>
    <w:p>
      <w:r>
        <w:t>In seiner Beschwerde reichte der Beschwerdeführer zum Nachweis der geltend gemachten Behauptung, dass sein Bruder, seine Adoptivschwester und seine Mutter im Iran lebten, zahleiche Fotografien ein. Hierzu ist festzuhalten, dass allein aufgrund einer gewissen Ähnlichkeit des auf den Fotografien abgebildeten Mannes mit dem Beschwerdeführer nicht eindeutig feststeht, dass es sich hierbei tatsächlich um dessen Bruder und bei den weiteren abgebildeten Personen um weitere Familienangehörige des Beschwerdeführers handelt. Aber selbst davon ausgehend, dass es sich hierbei um Familienangehörige des Beschwerdeführers handeln sollte, welche sich in den Strassen von Teheran mit einer iranischen Tageszeitung zeigen, steht damit nicht fest, ob diese tatsächlich in Teheran leben oder sich nur zwischenzeitlich in Teheran aufgehalten haben. Auch die auf Fotografien abgebildeten Dokumente, bei denen es sich nach Angaben des Beschwerdeführers um die Mietverträge seines Bruders in Teheran handeln soll, sind aufgrund ihrer leichten Manipulierbarkeit zum Nachweis des geltend gemachten jahrelangen Aufenthaltes seiner Familienangehörigen im Iran nicht geeignet. Mit den eingereichten Fotografien gelingt es dem Beschwerdeführer somit nicht, seine Behauptung, dass sein Bruder, seine Adoptivschwester und seine Mutter im Iran lebten, nachzuweisen. Indessen muss diese Frage ohnehin nicht abschliessend beurteilt werden, da der Beschwerdeführer zumindest mit seinem Onkel in B._______ über einen Verwandten verfügt, auf dessen Unterstützung der Beschwerdeführer bei seiner Rückkehr zurückgreifen kann. Im Rahmen des ersten Asylverfahrens gab der Beschwerdeführer an, wegen seines Onkels nie in finanzieller Not gewesen zu sein (vgl. A8 S. 7). Er habe im Haus seines Onkels gewohnt, in dessen Geschäft gearbeitet und dabei ein regelmässiges Gehalt erhalten (vgl. A1 S. 3). In seiner Replik vom 8. August 2011 machte der Beschwerdeführer geltend, die finanzielle Situation des Onkels habe sich aufgrund ungenügender geschäftlicher Auftragslage zusehends verschlechtert, ohne diese Behauptung mit weiteren Angaben oder Einreichung von Beweismitteln zu stützen. Im vorliegenden Beschwerdeverfahren machte der Beschwerdeführer erstmals geltend, sich vor seiner Ausreise mit seinem Onkel zerstritten zu haben und von diesem "aus dem Haus geworfen worden zu sein". Indessen ist den Aussagen des Beschwerdeführer im ersten Asylverfahren zu entnehmen, dass er mit seinem Onkel auch nach seiner Ausreise ein einvernehmliches Verhältnis gehabt hat (vgl. A8 S. 2). Auch gab der Beschwerdeführer an, dass er mit Hilfe seines Onkels Afghanistan verlassen habe (vgl. A8 S. 5). Die Behauptungen des Beschwerdeführers, wonach er sich vor der Ausreise mit seinem Onkel zerstritten habe und dieser ihm nun feindlich gesinnt sei, ist daher als nachgeschoben und unglaubhaft zu erachten. Vielmehr ist davon auszugehen, dass sich der Beschwerdeführer bei einer Rückkehr mit Unterstützung seines Onkels in seiner Heimat beruflich als auch sozial (re-)integrieren kann. Im Weiteren ist darauf hinzuweisen, dass für den Beschwerdeführer die Möglichkeit besteht, individuelle Rückkehrhilfe zu beantragen (Art. 93 Abs. 1 Bst. d AsylG, Art. 73 ff. der Asylverordnung 2 vom 11. August 1999 [AsylV 2, SR 142.312]). Der Wegweisungsvollzug des Beschwerdeführers nach B.______ ist somit als zumutbar zu erachten.</w:t>
      </w:r>
    </w:p>
    <w:p>
      <w:r>
        <w:rPr>
          <w:b/>
        </w:rPr>
        <w:t>E. 6.5</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nicht als unmöglich zu bezeichnen ist (Art. 83 Abs. 2 AuG).</w:t>
      </w:r>
    </w:p>
    <w:p>
      <w:r>
        <w:rPr>
          <w:b/>
        </w:rPr>
        <w:t>E. 6.6</w:t>
      </w:r>
    </w:p>
    <w:p>
      <w:r>
        <w:t>Zusammenfassend ergibt sich, dass das BFM den Vollzug der Wegweisung zu Recht als zulässig, zumutbar und möglich erachtet hat. Die Anordnung der vorläufigen Aufnahme fällt daher nicht in Betracht (Art. 83 Abs. 1-4 AuG).</w:t>
      </w:r>
    </w:p>
    <w:p>
      <w:r>
        <w:rPr>
          <w:b/>
        </w:rPr>
        <w:t>E. 7</w:t>
      </w:r>
    </w:p>
    <w:p>
      <w:r>
        <w:t>Aus diesen Erwägungen folgt, dass die angefochtene Verfügung Bundes-recht nicht verletzt, den rechtserheblichen Sachverhalt richtig und voll-ständig feststellt und angemessen ist (Art. 106 AsylG). Die Beschwerde ist demnach abzuweisen.</w:t>
      </w:r>
    </w:p>
    <w:p>
      <w:r>
        <w:rPr>
          <w:b/>
        </w:rPr>
        <w:t>E. 8</w:t>
      </w:r>
    </w:p>
    <w:p>
      <w:r>
        <w:t>Da die Beschwerde aussichtslos war, ist das Gesuch um Gewährung der unentgeltlichen Rechtspflege im Sinne von Art. 65 Abs. 1 VwVG abzuweisen. Bei diesem Ausgang des Verfahrens sind dessen Kosten von Fr. 600.- (Art. 16 Abs. 1 Bst. a VGG i.V.m. Art. 2 und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