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D-2098/2014 vom 21. August 2014</w:t>
      </w:r>
    </w:p>
    <w:p>
      <w:r>
        <w:t>Bundesverwaltungsgericht, 2014-08-21, DE</w:t>
      </w:r>
    </w:p>
    <w:p>
      <w:r>
        <w:rPr>
          <w:b/>
        </w:rPr>
        <w:t xml:space="preserve">Quelle: </w:t>
      </w:r>
      <w:r>
        <w:t>https://mcp.opencaselaw.ch/entscheid/bvger_D-2098_2014</w:t>
      </w:r>
    </w:p>
    <w:p>
      <w:r>
        <w:t>FR: TAF D-2098/2014 du 21 août 2014</w:t>
      </w:r>
    </w:p>
    <w:p>
      <w:r>
        <w:t>IT: TAF D-2098/2014 del 21 agosto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Seit dem 1. Februar 2014 ist eine neue Fassung des Asylgesetzes (Änderungen vom 14. Dezember 2012) in Kraft, die unter anderem auch neue Bestimmungen zur Wiedererwägung (insb. Art. 111b AsylG) enthält.</w:t>
      </w:r>
    </w:p>
    <w:p>
      <w:r>
        <w:rPr>
          <w:b/>
        </w:rPr>
        <w:t>E. 2.2</w:t>
      </w:r>
    </w:p>
    <w:p>
      <w:r>
        <w:t>Auf das zu entscheidende Verfahren findet indessen das bisherige Recht Anwendung (vgl. Abs. 2 der Übergangsbestimmungen zur Änderung des Asylgesetzes vom 14. Dezember 2012).</w:t>
      </w:r>
    </w:p>
    <w:p>
      <w:r>
        <w:rPr>
          <w:b/>
        </w:rPr>
        <w:t>E. 3</w:t>
      </w:r>
    </w:p>
    <w:p>
      <w:r>
        <w:t>Bezüglich Beschwerdegründe ist auf Art. 106 Abs. 1 AsylG i.V.m. Art. 2 Abs. 2 der Übergangsbestimmung zu verweisen.</w:t>
      </w:r>
    </w:p>
    <w:p>
      <w:r>
        <w:rPr>
          <w:b/>
        </w:rPr>
        <w:t>E. 4</w:t>
      </w:r>
    </w:p>
    <w:p>
      <w:r>
        <w:t>Die Wiedererwägung war im Verwaltungs- respektive Asylverfahren bis zu der am 1. Februar 2014 in Kraft getretenen Revision des AsylG ein gesetzlich nicht geregelter Rechtsbehelf, auf dessen Behandlung durch die verfügende Behörde grundsätzlich kein Anspruch bestand. Gemäss herr­schender Lehre und ständiger Praxis des Bundesgerichts wurde jedoch aus Art. 29 der Bundesverfassung der Schweizerischen Eid­genossen­schaft vom 18. April 1999 (BV, SR 101) unter bestimmten Vorausset­zungen ein verfassungsmässiger Anspruch auf Wiedererwägung abgeleitet (vgl. BGE 127 I 133 E. 6 S. 137 f. m.w.H.). Danach war auf ein Wiedererwägungsgesuch einzutreten, wenn sich der rechtserhebliche Sachverhalt seit dem ursprünglichen Entscheid beziehungsweise seit dem Urteil der mit Beschwerde angerufenen Rechtsmit­telinstanz in wesentlicher Weise verändert hatte und mithin die ursprüngli­che (fehlerfreie) Verfügung an nachträglich eingetretene Veränderungen der Sachlage anzupassen war. Sodann konnten auch Revisionsgründe einen Anspruch auf Wiedererwägung begründen, sofern sie sich auf eine in materielle Rechtskraft erwachsene Verfügung bezogen, die entweder unangefoch­ten geblieben oder deren Beschwerdeverfahren mit einem formellen Prozessurteil abgeschlossen worden war. Ein solchermassen als qualifiziertes Wiedererwägungsgesuch zu bezeichnendes Rechtsmittel war und ist grundsätzlich nach den Regeln des Revisionsverfahrens zu behandeln. Ebenfalls im Rahmen einer Wiedererwägung geprüft werden können Beweismittel, die erst nach einem materiellen Beschwerdeentscheid des Bundesverwaltungsgerichts entstanden sind und daher revisionsrechtlich nicht von Relevanz sein können (vgl. BVGE 2013/22, insb. E. 12.3).</w:t>
      </w:r>
    </w:p>
    <w:p>
      <w:r>
        <w:rPr>
          <w:b/>
        </w:rPr>
        <w:t>E. 5.1</w:t>
      </w:r>
    </w:p>
    <w:p>
      <w:r>
        <w:t>Das BFM hat den grundsätzlichen Anspruch der Beschwerdeführerin auf Behandlung des Wiedererwägungsgesuchs vom 12. September 2012 nicht in Abrede gestellt und die Eingabe zu Recht nicht als weiteres Asylgesuch entgegengenommen. Zu prüfen ist im vorliegenden Beschwerde­verfahren mithin, ob das BFM zu Recht davon ausgegangen ist, die neuen Vorbringen und Beweismittel würden die Sachlage nicht derart ver­ändern, als dass eine asylrechtliche Neueinschätzung erforderlich wäre oder der Vollzug der Wegweisung nunmehr undurchführbar erschiene.</w:t>
      </w:r>
    </w:p>
    <w:p>
      <w:r>
        <w:rPr>
          <w:b/>
        </w:rPr>
        <w:t>E. 5.2</w:t>
      </w:r>
    </w:p>
    <w:p>
      <w:r>
        <w:t>Die Beschwerdeführerin hat in der Schweiz bereits erfolglos ein Asylverfahren durchlaufen, welches mit dem materiellen Urteil des Bundes­verwaltungsgerichts vom 2. August 2011 rechtskräftig abgeschlossen wurde. Im besagten Urteil wurde festgehalten, dass eine Rückkehr der Beschwerdeführerin nach Eritrea ausgeschlossen sei, weshalb dem (be­reits damals eingereichten) Identitätsdokument des Vaters keine Rele­vanz zukomme (E. 7. am Ende). Soweit die Beschwerdeführerin im Wiedererwägungsverfahren erneut Bezug auf das besagte Dokument nimmt, ersucht sie - mit einem Beweismittel, das vor Abschluss des ordentlichen Verfahrens entstanden ist - mithin implizit um Revision des besagten Urteils. Da aber eine andere Würdigung eines bereits bekannten Sachverhaltselements beziehungsweise Beweismittels praxisgemäss nicht als Revisionsgrund in Betracht kommt, erübrigen sich weitere (revisionsrecht­liche) Erwägungen zum erneut eingereichten Dokument. Das ferner beigebrachte Dokument der äthiopischen Behörden entstand gemäss Datierung nach Erlass des erwähnten Urteils des Bundesverwaltungsgerichts und kann gemäss Rechtsprechung des Bundesverwaltungsgerichts klarerweise nicht im Rahmen eines Revisionsverfahrens geprüft werden (vgl. BVGE 2013/22).</w:t>
      </w:r>
    </w:p>
    <w:p>
      <w:r>
        <w:rPr>
          <w:b/>
        </w:rPr>
        <w:t>E. 6</w:t>
      </w:r>
    </w:p>
    <w:p>
      <w:r>
        <w:t>Auch unter wiedererwägungsrechtlichen Gesichtspunkten kann die Be­schwerdeführerin aus dem zuletzt genannten Beweismittel nichts zu ihren Gunsten hinsichtlich Flüchtlingseigenschaft und Asyl ableiten. So hat das BFM im angefochtenen Entscheid hervorgehoben, das Dokument vom (...) April 2004 (äthiopischer Kalender) sei schon insofern kaum beweis­tauglich, als unwahrscheinlich anmute, dass die äthiopischen Behörden in dieser Form eine Verfolgung der Beschwerdeführerin bestätigen würden. In der Beschwerde fehlen stichhaltige Argumente für eine andere Sichtweise.</w:t>
      </w:r>
    </w:p>
    <w:p>
      <w:r>
        <w:rPr>
          <w:b/>
        </w:rPr>
        <w:t>E. 7.1</w:t>
      </w:r>
    </w:p>
    <w:p>
      <w:r>
        <w:t>Die am 10. März 2014 beim BFM eingegangen ärztlichen Unterlagen datieren aus einem Zeitraum nach Erlass des Urteils des Bundesverwal­tungsgerichts vom 2. August 2011. Im folgenden ist zu prüfen, ob diese Unterlagen und die weiteren Ausführungen der Beschwerdeführerin zum Vollzugspunkt geeignet sind, eine diesbezüglich relevant veränderte Sachlage darzutun.</w:t>
      </w:r>
    </w:p>
    <w:p>
      <w:r>
        <w:rPr>
          <w:b/>
        </w:rPr>
        <w:t>E. 7.2</w:t>
      </w:r>
    </w:p>
    <w:p>
      <w:r>
        <w:t>Die terminliche Argumentation des BFM, weshalb die am 10. März 2014 eingegangenen Unterlagen im Entscheid vom 17. März 2014 nicht mehr berücksichtigt werden konnten, vermag nur bedingt zu überzeugen. Namentlich seine Feststellung, der Entscheid vom 17. März 2014 habe sich am 10. März 2014 bereits in der Spedition befunden, wirft Fragen auf. Unbesehen dieser Sachlage hat sich die Beschwerdeführerin in der Replik dazu nicht mehr geäussert. Entscheidend ist jedenfalls, dass die ärztlichen Unterlagen offensichtlich lediglich im Vollzugspunkt von Bedeu­tung sind. Da mit Urteil heutigen Datums die Zumutbarkeit des Vollzugs verneint wird, kann entsprechend davon abgesehen werden, das Vorlie­gen einer allfälligen Gehörsverletzung festzustellen. Auch Erwägungen zur Frage der Zulässigkeit und Möglichkeit des Vollzugs erübrigen sich bei dieser Sachlage praxisgemäss.</w:t>
      </w:r>
    </w:p>
    <w:p>
      <w:r>
        <w:rPr>
          <w:b/>
        </w:rPr>
        <w:t>E. 8</w:t>
      </w:r>
    </w:p>
    <w:p>
      <w:r>
        <w:t>Gemäss Art. 83 Abs. 4 AuG (SR 142.20) ist der Vollzug der Wegweisung nicht zumutbar, wenn die beschwerdeführende Person bei einer Rück­kehr in ihren Heimatstaat einer konkreten Gefährdung ausgesetzt wäre. Diese Bestimmung wird vor allem bei Gewaltflüchtlingen angewendet, das heisst bei Ausländern und Ausländerinnen, von denen wegen der Fol­gen von Krieg, Bürgerkrieg oder einer Situation allgemeiner Gewalt nicht mit Fug erwartet werden kann, dass sie in ihren Heimatstaat zurückkeh­ren,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2011/24 E. 11.1 und BVGE 2009/52 E. 10.1, jeweils m.w.H.). Wird eine konkrete Gefährdung festgestellt, ist - unter Vorbehalt von Art. 83 Abs. 7 AuG - die vorläufige Aufnahme zu gewähren.</w:t>
      </w:r>
    </w:p>
    <w:p>
      <w:r>
        <w:rPr>
          <w:b/>
        </w:rPr>
        <w:t>E. 8.1</w:t>
      </w:r>
    </w:p>
    <w:p>
      <w:r>
        <w:t>Die allgemeinen Lage in Äthiopien ist nicht von Krieg, Bürgerkrieg oder einer Situation allgemeiner Gewalt geprägt, so dass eine Rückkehr von Personen auch im heutigen Zeitpunkt gemäss Rechtsprechung des Bundesverwaltungsgerichts generell zumutbar ist (vgl. BVGE 2011/25 E. 8.3).</w:t>
      </w:r>
    </w:p>
    <w:p>
      <w:r>
        <w:rPr>
          <w:b/>
        </w:rPr>
        <w:t>E. 8.2</w:t>
      </w:r>
    </w:p>
    <w:p>
      <w:r>
        <w:t>Die Beschwerdeführerin macht geltend, sie habe im aktuellen Zeit­punkt - mit Ausnahme ihrer minderjährigen Tochter - keine sozialen Anknüpfungspunkte vor Ort. Im Entscheid vom 29. Oktober 2009 hat das BFM ihren langjährigen Aufenthalt im Sudan nicht in Frage gestellt und zu Recht festgehalten, die von ihr dort erlebte sexuelle Gewalt könne nicht den äthiopischen Behörden angelastet werden. Es ist mithin davon auszugehen, dass sie Äthiopien bereits 2003 oder jedenfalls vor sehr langer Zeit verlassen hat. Gleichwohl kam das Bundesverwaltungsgericht im Urteil vom 2. August 2011 zum Schluss, aufgrund der Fallumstände sei ent­gegen den Vorbringen der Beschwerdeführerin nicht auszuschliessen, dass vor Ort ein soziales Netz bestehe. Medizinische Gründe für eine vorläufige Aufnahme in der Schweiz bestünden nicht (E. 11.3). Anlässlich der Anhörung vom 7. August 2009 sowie 11. September 2009 entstand in der Tat der Eindruck, dass die Beschwerdeführerin im Zeitpunkt der Ausreise im Jahr 2003 über diverse, wenn auch nicht familiäre soziale Anknüp­fungspunkt vor Ort verfügte. Die Patentante, bei welcher ihr Kind lebe, wurde als finanziell gut gestellt erwähnt (A 11/20 u.a. Antworten 120 ff. und 206). Dass sie nicht bereit gewesen wäre, auch die Mutter ihres Pa­tenkindes zu unterstützen, erscheint zumindest fraglich, zumal sie deren Tochter offenbar auf eine Privatschule schickte (a.a.O. 136). Die Anhö­rung fand aber wie gesagt im Jahr 2009 statt und bezog sich auf die Situation vor der geltend gemachten Ausreise aus dem Sudan im Jahr 2003. Dass im Jahr 2014 und mithin mehr als zehn Jahre nach der Ausreise noch ein hinreichendes soziales Netz besteht, ist hingegen zu bezweifeln. Vielmehr ist davon auszugehen, dass die Beschwerdeführerin ein solches - allenfalls im Zusammenhang mit der Situation ihrer Tochter - aufgrund des Zeitablaufs wieder aufbauen müsste.</w:t>
      </w:r>
    </w:p>
    <w:p>
      <w:r>
        <w:rPr>
          <w:b/>
        </w:rPr>
        <w:t>E. 8.3.1</w:t>
      </w:r>
    </w:p>
    <w:p>
      <w:r>
        <w:t>In BVGE 2011/25 äusserte sich das Bundesverwaltungsgericht aus­führlich zur sozioökonomischen Situation alleinstehender Frauen in Äthio­pien. Es wurde festgestellt,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In diesem Zusammenhang ist darauf hinzuweisen, dass die Beschwerdeführerin - damals 15 Jahre alt - ihrerseits nach der Geburt ihrer unehelichen Tochter offenbar gezwungen war, sich zu prostituieren (vgl. A 11 S. 4). Sodann liege die Arbeitslosigkeit von Frauen in Addis Abeba zwischen 40 und 55%. Eine höhere Schulbildung, ein Leben in der Stadt und das Verfügen über finanzielle Mittel erhöhe indes die Möglichkeit einer selbständigen Erwerbstätigkeit. Ohne diese Voraussetzungen würden Frauen oft nur Arbeiten verbleiben, welche gesundheitliche Risiken ber­gen, wie beispielsweise in der Prostitution oder in Haushalten, wo sie regelmässig verschiedener Formen der Gewalt ausgesetzt seien (vgl. BVGE, a.a.O. E.8.5. und Urteil des Bundesverwaltungsgerichts E-1203/2012 vom 17. Januar 2013).</w:t>
      </w:r>
    </w:p>
    <w:p>
      <w:r>
        <w:rPr>
          <w:b/>
        </w:rPr>
        <w:t>E. 8.3.2</w:t>
      </w:r>
    </w:p>
    <w:p>
      <w:r>
        <w:t>Weiter wird in BVGE 2011/25 E. 8.6. S. 522 ausgeführt, in den letz­ten Jahren sei in Äthiopien ein wirtschaftlicher Boom mit zeitweilig zweistelligen Wachstumsraten zu verzeichnen gewesen, von welchem vorab die urbane Mittelschicht profitiert habe. Auch wenn Addis Abeba bessere Arbeits- und Einkommensmöglichkeiten biete als andere Städte oder ländliche Regionen, werde dies durch die grosse Arbeitsmigration wieder relativiert. Arbeitsplätze für wenig qualifizierte Rückkehrer seien auch in städtischen Gebieten rar. Auf eine Arbeitsstelle, für die nur eine niedrige Qualifikation erforderlich ist, kommen zum Teil mehrere hundert Bewerberinnen.</w:t>
      </w:r>
    </w:p>
    <w:p>
      <w:r>
        <w:rPr>
          <w:b/>
        </w:rPr>
        <w:t>E. 8.4</w:t>
      </w:r>
    </w:p>
    <w:p>
      <w:r>
        <w:t>Die Beschwerdeführerin stammt nicht aus dem allenfalls privilegierten Addis Abeba, sondern aus B._______ beziehungsweise C._______. Sie ist mittlerweile 30-jährig und alleinstehend. Seit Abschluss des ordentlichen Verfahrens sind bei ihr behandlungsbedürftige medizinische Leiden auch psychischer Art diagnostiziert worden (Nebennierenrindeninsuffienz, ver­frühte Menopause, Angstzustände, reaktive Depression). Mit der Vorin­stanz ist zwar davon auszugehen, dass diese Krankheiten vor Ort grundsätzlich behandelbar wären, selbst wenn die Versorgung namentlich auch im psychischen Bereich als sehr fragmentarisch erscheint (vgl. dazu das Urteil E-5207/2012 vom19. November 2013 E 4.3.4). Dass sie dabei (abgesehen von der minderjährigen Tochter) die Beziehung zu Personen, mit welchen sie vor der Ausreise in Kontakt stand, im Sinne eines sozialen Netzes wieder herstellen könnte, erscheint im heutigen Zeitpunkt, mehr als zehn Jahre nach ihrer Ausreise, als wenig wahrscheinlich. Im Weite­ren verfügt sie zwar über eine gewisse Schulbildung, aber - abgesehen von der Tätigkeit als Prostituierte - über keinerlei Arbeitserfahrung. Die Eingliederung in den Arbeitsmarkt, die Suche nach einer Unterkunft und der Zugang zu Unterstützungsleistungen dürften für sie insgesamt unüberwindbare Hürden darstellen, und die Aussichten auf ein wirtschaft­liches Überleben unter menschenwürdigen Umständen wären gering. Vielmehr wäre zu befürchten, dass sie wieder sexueller Ausbeutung ausgesetzt wäre. Eine soziale Verelendung und eine ernsthafte Ver­schlechterung ihres Gesundheitszustandes bis hin zur Selbstgefährdung kann somit nicht mit der erforderlichen Wahrscheinlichkeit ausgeschlos­sen werden. Demzufolge ist eine konkrete Gefährdung im Sinne der Rechtsprechung zu bejahen, und der Wegweisungsvollzug hat nunmehr als unzumutbar zu gelten.</w:t>
      </w:r>
    </w:p>
    <w:p>
      <w:r>
        <w:rPr>
          <w:b/>
        </w:rPr>
        <w:t>E. 8.5</w:t>
      </w:r>
    </w:p>
    <w:p>
      <w:r>
        <w:t>Die Beschwerde ist demnach gutzuheissen, soweit sie den Vollzug der Wegweisung betrifft. Die Verfügung des BFM vom 29. Oktober 2009 ist hinsichtlich der Ziffern 4 und 5 des Dispositivs durch das BFM in Wiedererwägung zu ziehen, und das BFM ist anzuweisen, die Beschwerde­führerin in der Schweiz vorläufig aufzunehmen. Somit erübrigt es sich, auf wietere Beschwerdevorbringen zum Vollzugspunkt näher einzugehen.</w:t>
      </w:r>
    </w:p>
    <w:p>
      <w:r>
        <w:rPr>
          <w:b/>
        </w:rPr>
        <w:t>E. 9.1</w:t>
      </w:r>
    </w:p>
    <w:p>
      <w:r>
        <w:t>Bei diesem Ausgang des Verfahrens sind keine Kosten zu erheben. Das Gesuch um unentgeltliche Rechtspflege ist damit gegenstandslos.</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notwen­ige Vertretungsaufwand lässt sich indes aufgrund der Aktenlage zuverlässig abschätzen (Art. 14 Abs. 2 in fine VGKE). Gestützt auf die in Betracht zu ziehenden Bemessungsfaktoren (Art. 9 13 VGKE) ist der Beschwerdeführerin zulasten des BFM eine Parteientschädigung von insgesamt Fr. 1'800.-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