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D-2097/2014 vom 30. April 2014</w:t>
      </w:r>
    </w:p>
    <w:p>
      <w:r>
        <w:t>Bundesverwaltungsgericht, 2014-04-30, DE</w:t>
      </w:r>
    </w:p>
    <w:p>
      <w:r>
        <w:rPr>
          <w:b/>
        </w:rPr>
        <w:t xml:space="preserve">Quelle: </w:t>
      </w:r>
      <w:r>
        <w:t>https://mcp.opencaselaw.ch/entscheid/bvger_D-2097_2014</w:t>
      </w:r>
    </w:p>
    <w:p>
      <w:r>
        <w:t>FR: TAF D-2097/2014 du 30 avril 2014</w:t>
      </w:r>
    </w:p>
    <w:p>
      <w:r>
        <w:t>IT: TAF D-2097/2014 del 30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1.4</w:t>
      </w:r>
    </w:p>
    <w:p>
      <w:r>
        <w:t>An dieser Stelle sei im Sinne eines Hinweises an die Vorinstanz noch erwähnt, dass die Rechtsmittelbelehrung in der angefochtenen Verfügung fehlerhaft ist, zumal die Beschwerdefrist nicht - wie in der Verfügung angegeben - 10 Arbeitstage, sondern 10 Tage - mithin Kalendertage - beträgt (vgl. den Wortlaut von Art. 38 TestV). Trotz dieser unrichtigen Rechtsmittelbelehrung wurde die Beschwerde rechtzeitig eingereicht; die Frage des Vertrauensschutzes stellt sich daher vorliegend nicht.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er sei ivorischer Staatsangehöriger und gehöre der Volksgruppe der Guere an. Sein Vater sei anlässlich der Präsidentschaftswahlen im Jahre 2010 als Wahlhelfer von Laurent Gbagbo tätig gewesen. Kurz nach den Wahlen sei seine Familie von bewaffneten Angehörigen der Ethnie der Djoula, die auf der Seite des Gegenkandidaten Ouattara gestanden hätten, zuhause aufgesucht worden. Dabei hätten sie das Haus verwüstet, sämtliche Familienangehörigen geschlagen und dem Vater vorgeworfen, Gbagbo gewählt zu haben. Den Vater hätten die Männer anschliessend mitgenommen. Aus Angst, getötet zu werden, hätten er (der Beschwerdeführer) und sein Bruder das Land am nächsten Tag verlassen. Während sein Bruder in X._______ geblieben sei, sei er (der Beschwerdeführer) über verschiedene Länder nach Spanien gelangt und einige Monate später in die Schweiz gereist.</w:t>
      </w:r>
    </w:p>
    <w:p>
      <w:r>
        <w:rPr>
          <w:b/>
        </w:rPr>
        <w:t>E. 5.2</w:t>
      </w:r>
    </w:p>
    <w:p>
      <w:r>
        <w:t>Das BFM begründete seine Verfügung damit, der Beschwerdeführer habe lediglich oberflächlich über die Wahlveranstaltungen des Vaters berichten können, was er mit seinem Desinteresse an Politik zu erklären versucht habe. Es überzeuge jedoch nicht, dass sich ein (junger) Mann nicht für Politik interessiere, während sein ganzes Land in Aufruhr sei und er einer Ethnie angehöre, welche verfolgt werde. Vom Sohn eines politisch aktiven Vaters sei zu erwarten, dass er selbst in entsprechende Diskussionen oder Aktionen involviert gewesen wäre, und somit detaillierter darüber berichten könnte. Aufgrund dieser unsubstanziierten Aussagen seien die Vorbringen nicht glaubhaft und es erübrige sich, auf die Unglaubhaftigkeitsmomente in den Schilderungen des Überfalls und der Verschleppung des Vaters einzugehen.</w:t>
      </w:r>
    </w:p>
    <w:p>
      <w:r>
        <w:rPr>
          <w:b/>
        </w:rPr>
        <w:t>E. 5.3</w:t>
      </w:r>
    </w:p>
    <w:p>
      <w:r>
        <w:t>Diesen Erwägungen wurde in der Beschwerdeschrift entgegnet, sein Vater habe Treffen organisiert, anlässlich welcher er Plakate und Flugblätter verteilt habe. Die Teilnahme an einer Wahlveranstaltung für Gbagbo stelle eine strafbare Handlung dar, die mit Gefängnis oder Tod bestraft werde. Nach den Wahlen seien die Unterstützer von Gbagbo systematisch angegriffen worden. Da der Beschwerdeführer der Volksgruppe der Guere angehöre und sein Vater Gbagbo unterstützt habe, sei er in erheblichem Ausmass gefährdet, da der Staat weiterhin gegen solche Personen massiv vorgehe.</w:t>
      </w:r>
    </w:p>
    <w:p>
      <w:r>
        <w:rPr>
          <w:b/>
        </w:rPr>
        <w:t>E. 6.1</w:t>
      </w:r>
    </w:p>
    <w:p>
      <w:r>
        <w:t>Das Bundesverwaltungsgericht schliesst sich der Auffassung der Vorinstanz an. In Ergänzung zu deren Ausführungen ist auf die wider­sprüchliche Schilderung des Überfalls auf die Familie des Beschwerdeführers hinzuweisen. Gemäss Aussagen in der BzP sei seine Familie zuhause aufgesucht worden. Man habe sie geschlagen und zum Verlassen des Hauses aufgefordert. Dort habe man den Vater mitgenommen, während der Rest der Familie zurückgelassen worden sei (act. A5 S.7). Im Rahmen des freien Erzählens in der Anhörung wurde dem widersprechend ausgeführt, sämtliche Familienangehörige seien mit dem Auto fortgebracht worden und man habe schliesslich alle, mit Ausnahme des Vaters, wieder aussteigen lassen (act. A18 F13). Im späteren Verlauf der Anhörung gab der Beschwerdeführer an, es hätten zwar alle ins Auto einsteigen müssen, aber nur der Vater sei schliesslich fortgebracht worden (act. A18 F31). Kurze Zeit später korrigierte er seine Aussage dahingehend, dass nur der Vater ins Auto gestiegen und weggebracht worden sei (act. A18 F48 bis F50). Des Weiteren sind die Aussagen hinsichtlich des Vorfalles sehr vage und oberflächlich ausgefallen, indem etwa die konkreten Reaktionen der einzelnen Familienmitglieder nicht haben beschrieben werden können (vgl. act. A18 F36 und F39 bis F41). Dadurch erwecken sie nicht den Eindruck, der Beschwerdeführer habe das Geschilderte tatsächlich erlebt. Der Beschwerde sind keine Einwände zu entnehmen, welche dieser Feststellung entgegenstehen. Das BFM erachtete die Vorbringen des Beschwerdeführers damit zu Recht für unglaubhaft.</w:t>
      </w:r>
    </w:p>
    <w:p>
      <w:r>
        <w:rPr>
          <w:b/>
        </w:rPr>
        <w:t>E. 6.2</w:t>
      </w:r>
    </w:p>
    <w:p>
      <w:r>
        <w:t>Auch mit dem auf Beschwerdeebene erneut bekräftigten Vorbringen, der Beschwerdeführer sei aufgrund seiner Zugehörigkeit zur Volksgruppe der Guere gefährdet, vermag er nicht durchzudringen, zumal diese allgemein gehaltene Befürchtung nur einen indirekten Bezug zu seiner - für unglaubhaft befundenen - konkret erlittenen Verfolgung aufweist. Ohnehin ist hinsichtlich der Unruhen nach den Präsidentschaftswahlen im Frühjahr 2011 zu erwähnen, dass sich die Situation seither kontinuierlich verbessert hat (vgl. dazu etwa Human Rights Watch: World Report 2014 - Côte d'Ivoire, 21. Januar 2014; UN Security Council, Thirty-third report of the Secretary-General on the United Nations Operation in Côte d'Ivoire, S/2013/761, 24. Dezember 2013).</w:t>
      </w:r>
    </w:p>
    <w:p>
      <w:r>
        <w:rPr>
          <w:b/>
        </w:rPr>
        <w:t>E. 6.3</w:t>
      </w:r>
    </w:p>
    <w:p>
      <w:r>
        <w:t>Das BFM hat somit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(im Sinne eines «real risk» gemäss der Praxis des Europäischen Gerichtshofes für Menschenrechte [EGMR] sowie jener des UN-Anti-Folter­aus­schusses [vgl. etwa Urteil des EGMR Saadi gegen Italien vom 28. Februar 2008, Grosse Kammer 37201/06, §§ 124-127 m.w.H.])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BFM begründete die Zumutbarkeit des Wegweisungsvollzugs damit, dass seit der Präsidentschaft von Ouattara die ivorische Wirtschaft wieder Tritt gefasst und sich die Versorgungslage normalisiert habe. Die Behörden seien sichtlich bemüht, die Infrastruktur wieder auf- bzw. auszubauen. Auch die Sicherheitslage habe sich, insbesondere in Abidjan, merklich gebessert und die meisten aus den Städten vertriebenen Personen seien zurückgekehrt. Die Reformierung des Sicherheitsapparates und der Aufbau einer unabhängigen Justiz würden jedoch wichtige Punkte darstellen, die für eine langfristige Stabilisierung der Elfenbeinküste weiter vorangetrieben werden müssten. Vor diesem Hintergrund sei der Wegweisungsvollzug grundsätzlich für zumutbar zu erachten. Es seien auch keine individuellen Gründe ersichtlich, die gegen die Zumutbarkeit sprächen, zumal der Beschwerdeführer jung und gesund sei und seit Kindesalter in Abidjan gelebt habe. Seinen Ausführungen könne auch nicht entnommen werden, dass er über keine Angehörigen in der Heimat verfüge, welche ihn bei einer Rückkehr unterstützen könnten.</w:t>
      </w:r>
    </w:p>
    <w:p>
      <w:r>
        <w:rPr>
          <w:b/>
        </w:rPr>
        <w:t>E. 8.6</w:t>
      </w:r>
    </w:p>
    <w:p>
      <w:r>
        <w:t>Mit Bezug auf die Sicherheits- und Menschenrechtslage in der Côte d'Ivoire ist zunächst auf eine vom Bundesverwaltungsgericht vorgenommene Lageeinschätzung im publizierten Urteil vom 24. November 2009 (BVGE 2009/41) zu verweisen. Das Gericht hielt darin fest, dass im Rahmen des Abkommens von Ouagadougou vom März 2007 die politische Lage sich deutlich habe stabilisieren können und eine positive Entwicklung der allgemeinen Sicherheits- und Menschenrechtslage festzustellen sei (vgl. a.a.O. E. 7.3.2 ff.). Weiter wurde festgehalten, dass eine Rückkehr von Personen in den Norden und in den Westen des Landes aufgrund der dort zurzeit herrschenden ungenügenden Sicherheitslage nicht zumutbar sei. Bei Personen, die aus dem Westen oder dem Norden des Landes stammen,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 In der Côte d'Ivoire fanden am 28. November 2010 Präsidentschaftswahlen statt. Nachdem der abgewählte Präsident Laurent Gbagbo den Wahlsieg seines Herausforderers Alassane Ouattara nicht anerkannt hatte, brachten im März 2011 heftige Kämpfe zwischen den Truppen der Kontrahenten aus. Am 11. April 2011 wurde Gbagbo festgenommen; in manchen Teilen Abidjans dauerten die Kämpfe bis Anfang Mai 2011. Am 1. Juni 2011 stellte Präsident Ouattara die neue Regierung vor. Seither hat sich die Sicherheitslage in Abidjan kontinuierlich verbessert. Am 29. November 2011 wurde Gbagbo an den Internationalen Strafgerichtshof in Den Haag ausgeliefert und die Parlamentswahlen vom 11. Dezember 2011 sind - wie der UN-Vertreter für die Elfenbeinküste, Bert Koenders, mitteilte - im Grossen und Ganzen friedlich verlaufen. In der Côte d'Ivoire herrscht aktuell keine landesweit bestehende Bürgerkriegssituation oder eine Situation allgemeiner Gewalt, und auch in Abidjan hat sich die Lage normalisiert (vgl. dazu auch die Ausführungen in Erwägung 6.2). Wie das BFM zu Recht festhielt, sprechen in casu auch keine individuellen Gründe gegen die Zumutbarkeit des Wegweisungsvollzugs. Der Beschwerdeführer lebte vor seiner Ausreise in Abidjan und es kann angenommen werden, dass sich dort weiterhin Familienangehörige aufhalten (vgl. dazu act. A5 S. 4 f.; act. A18 F71 bis F76). Gemäss seinen Aussagen (vgl. dazu act. A5 S. 4) sowie der Qualität der eigenhändig verfassten Beschwerdeschrift verfügt er über eine solide Schulbildung und ist - soweit aktenkundig - gesund. Nach dem Gesagten erweist sich der Vollzug der Wegweisung folglich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