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D-2096/2017 vom 19. Oktober 2017</w:t>
      </w:r>
    </w:p>
    <w:p>
      <w:r>
        <w:t>Bundesverwaltungsgericht, 2017-10-19, DE</w:t>
      </w:r>
    </w:p>
    <w:p>
      <w:r>
        <w:rPr>
          <w:b/>
        </w:rPr>
        <w:t xml:space="preserve">Quelle: </w:t>
      </w:r>
      <w:r>
        <w:t>https://mcp.opencaselaw.ch/entscheid/bvger_D-2096_2017</w:t>
      </w:r>
    </w:p>
    <w:p>
      <w:r>
        <w:t>FR: TAF D-2096/2017 du 19 octobre 2017</w:t>
      </w:r>
    </w:p>
    <w:p>
      <w:r>
        <w:t>IT: TAF D-2096/2017 del 19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begründeten ihr Gesuch damit, dass sie iranische Staatsangehörige seien. Der Beschwerdeführer habe sich im Jahre (...) von seiner ersten Ehefrau getrennt; einige Monate später habe er seine zweite Ehefrau geheiratet. Im Jahre 2012 sei er wegen einer ausserehelichen einjährigen Beziehung zum Tode verurteilt worden. Ferner sei der Ex-Mann der Beschwerdeführerin drogenabhängig, habe sie geschlagen und um Geld erpresst. Ihr ältestes Kind leide an (...) und (...). Als Beweismittel reichten sie Kopien von Gerichtsakten (Gerichtsurteil, Verteidigungsschrift und Schreiben eines Anwalts) ein.</w:t>
      </w:r>
    </w:p>
    <w:p>
      <w:r>
        <w:rPr>
          <w:b/>
        </w:rPr>
        <w:t>E. 5.2</w:t>
      </w:r>
    </w:p>
    <w:p>
      <w:r>
        <w:t>Das SEM begründete seine Verfügung damit, dass die Nachforschungen der schweizerischen Botschaft ergeben hätten, dass das eingereichte Gerichtsurteil eine Fälschung sei. Das angegebene Scheidungsdatum würde ferner nicht den Scheidungsakten entsprechen. Im Rahmen des rechtlichen Gehörs zu diesen Erkenntnissen habe der Beschwerdeführer ausgeführt, sein Schweizer Rechtsvertreter wolle den Fall nicht weiterführen, da er dessen Honorar nicht vollständig habe bezahlen können. Der Anwalt habe ihm mitgeteilt, dass er (Beschwerdeführer) gelogen habe und das Gerichtsdokument gefälscht sei. Er (Beschwerdeführer) sei erschüttert und verwirrt. Zu den Abklärungsergebnissen habe er sich nicht geäussert. Die eingereichten Beweismittel seien somit als gefälscht zu erachten und hätten keinerlei beweiswert. Sie würden als Fälschungen eingezogen. Hinsichtlich der Aussagen des Beschwerdeführers sei zu erwähnen, dass er geltend gemacht habe, in Untersuchungshaft gewesen zu sein. Dazu habe er jedoch keine hinreichenden zeitlichen Angaben machen können. In der Anhörung habe er zudem erwähnt, nebst der Untersuchungshaft zwei und anschliessend drei Monate inhaftiert worden zu sein. Dies habe er in der BzP nicht vorgebracht, obwohl genügend Möglichkeit dazu bestanden habe. Er habe sodann ausgesagt, er habe Beschwerde gegen das Urteil eingereicht, welche jedoch abgelehnt worden sei. Entsprechende Gerichtsakten habe er allerdings nicht ins Recht gelegt. Schliesslich erstaune seine Erklärung, der Bruder seiner damaligen Geliebten habe Rache gewollt, weshalb er die volle Schuld auf den Beschwerdeführer geschoben habe, ohne in der Lage zu sein, hinreichende Angaben zum Namen des Bruders machen zu können. Er habe ausgesagt, seine Geliebte oft nachts zwischen 11 und 12 Uhr besucht zu haben, nachher jedoch ausgeführt, er sei insgesamt zwei- bis dreimal zu ihr gegangen. Er habe zum Gerichtsurteil in der Anhörung erklärt, dieses sei am (...) 2012 ergangen, woraufhin er einen Monat später ausgereist sei, während er in der BzP ausgesagt habe, das Land am (...) 2013 verlassen zu haben. Betreffend das Vorbringen, der Ex-Mann der Beschwerdeführerin sei drogenabhängig und habe die Beschwerdeführerin behelligt, sei festzuhalten, dass sich die Beschwerdeführenden diesbezüglich an die iranischen Behörden wenden könnten, welche schutzwillig und schutzfähig seien. Diese Vorbringen seien daher - ungeachtet dessen, dass sie ohnehin zu weit zurücklägen, um kausal für die Flucht gewesen zu sein - nicht geeignet, die Flüchtlingseigenschaft zu begründen. Daran vermöchten auch die eingereichten Schreiben des iranischen Anwalts nicht zu ändern.</w:t>
      </w:r>
    </w:p>
    <w:p>
      <w:r>
        <w:rPr>
          <w:b/>
        </w:rPr>
        <w:t>E. 5.3</w:t>
      </w:r>
    </w:p>
    <w:p>
      <w:r>
        <w:t>In der Beschwerdeschrift wendeten die Beschwerdeführenden ein, die Einreichung des gefälschten Urteils sei ein gravierender Fehler gewesen, welcher auf fragwürdige Empfehlung des Schleppers erfolgt sei. Der eigentliche Fluchtgrund sei, dass der Beschwerdeführer eine Firma besitze, (...), was den Behörden missfallen habe. Nach etwa drei Jahren habe er deshalb keine Aufträge mehr erhalten und sei kurz vor dem Bankrott gestanden. Darüber hinaus sei für seine Firma kein "Zufriedenheitszeugnis" ausgestellt worden. Ohne ein solches Zeugnis sei es auch im privaten Sektor praktisch unmöglich, an Aufträge zu gelangen, wodurch die wirtschaftliche Existenz des Beschwerdeführers ruiniert worden sei. Um diesen Sachverhalt weiter abzuklären, sei der Beschwerdeführer anzuhören.</w:t>
      </w:r>
    </w:p>
    <w:p>
      <w:r>
        <w:rPr>
          <w:b/>
        </w:rPr>
        <w:t>E. 6</w:t>
      </w:r>
    </w:p>
    <w:p>
      <w:r>
        <w:t>Das SEM hat das Asylgesuch der Beschwerdeführenden zu Recht abgelehnt. Die Beschwerdeführenden stützten ihre Asylgründe im vorinstanzlichen Verfahren im Wesentlichen auf gefälschte Dokumente ab, weshalb an ihrer persönlichen Glaubwürdigkeit erhebliche Zweifel anzubringen sind. Deshalb sind auch die nunmehr auf Beschwerdeebene nachgeschobenen Asylgründe als nicht glaubhaft zu bezeichnen. Zudem sind die in der Beschwerdeschrift aufgeführten Nachteile wirtschaftlicher Natur ohnehin als nicht asylrelevant zu bezeichnen. Folglich ist auch der Antrag auf eine gerichtliche Anhörung des Beschwerdeführers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SEM begründete die Zumutbarkeit des Wegweisungsvollzugs damit, dass die Kinder der Beschwerdeführenden den Grossteil ihres Lebens im Iran verbracht hätten und dort über ein intaktes Beziehungsnetz verfügen würden. Das jüngste Kind sei ferner noch nicht eingeschult. Gemäss Aussagen der Beschwerdeführenden leide das älteste Kind an (...) und (...). Diese Krankheiten seien auch im Iran behandelbar, weswegen sie nicht auf die medizinische Infrastruktur der Schweiz angewiesen seien.</w:t>
      </w:r>
    </w:p>
    <w:p>
      <w:r>
        <w:rPr>
          <w:b/>
        </w:rPr>
        <w:t>E. 8.6</w:t>
      </w:r>
    </w:p>
    <w:p>
      <w:r>
        <w:t>Die Beschwerdeführenden entgegneten diesen Ausführungen - unter Beilagen von Belegen über ihre Integrationsbemühungen - in der Beschwerdeschrift, dass der Situation der Kinder vorrangige Bedeutung zukomme. Sie hätten vier Kinder, wovon nur das jüngste ihr gemeinsames Kind sei. Gemäss Art. 9 des Übereinkommens vom 20. November 1989 über die Rechte des Kindes (nachfolgend: KRK, SR 0.107) hätten Kinder ein Anrecht auf ein sicheres Zuhause. Die Beschwerdeführerin habe durch ihre Ausreise das Besuchs- und Sorgerecht des Ex-Mannes verletzt. Bei einer Rückkehr bestehe daher die Gefahr einer Trennung der Familie, da der Ex-Mann nach Scharia wohl bevorzugt würde. Die Kinder seien seit bald fünf Jahren in der Schweiz. Drei von ihnen seien hier eingeschult worden und hätten ihre prägenden Jahre in der Schweiz verbracht. Die Kinder seien gut integriert und in der Schule erfolgreich. Sie sprächen Deutsch und Dialekt und seien im sportlichen Bereich aktiv, beliebt und erfolgreich. Der Beschwerdeführer sei in vorgeschrittenen Alter und könne aufgrund der Probleme mit den iranischen Behörden nicht für den Lebensunterhalt der Familie aufkommen. Somit gebiete das Kindeswohl einen weiteren Verbleib in der Schweiz.</w:t>
      </w:r>
    </w:p>
    <w:p>
      <w:r>
        <w:rPr>
          <w:b/>
        </w:rPr>
        <w:t>E. 8.7</w:t>
      </w:r>
    </w:p>
    <w:p>
      <w:r>
        <w:t>Hinsichtlich des Wegweisungsvollzugs hat das SEM zutreffend festgehalten, dass die Kinder den grössten Teil ihres Lebens im Iran verbracht haben und die medizinischen Leiden des ältesten Kindes im Iran behandelbar ist. Die Einwände in der Beschwerdeschrift, wonach das Kindeswohl einem Wegweisungsvollzug entgegenstehe, überzeugen nicht. Nach geltender Rechtsprechung sind bei der Auslegung von Art. 83 Abs. 4 AuG im Lichte von Art. 3 Abs. 1 KRK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Vorliegend ist die Integration der Kinder in der Schweiz noch nicht derart fortgeschritten, insbesondere da sie noch jung sind und die prägenden Jahre der Adoleszenz grösstenteils noch bevorstehen. Auch der Einwand, die Familie würde bei einer Rückkehr auseinandergerissen, ist nicht überzeugend, zumal der Ex-Mann der Beschwerdeführerin drogenabhängig sei und sie daher gemäss eigenen Angaben über das alleinige Sorgerecht verfüge (act. A60 F54). Nach dem Gesagten erweist sich der Vollzug der Wegweisung auch als zumutbar.</w:t>
      </w:r>
    </w:p>
    <w:p>
      <w:r>
        <w:rPr>
          <w:b/>
        </w:rPr>
        <w:t>E. 8.8</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Für deren Bezahlung wird der in gleicher Höhe geleistete Kostenvorschuss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