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D-208/2008 vom 12. März 2010</w:t>
      </w:r>
    </w:p>
    <w:p>
      <w:r>
        <w:t>Bundesverwaltungsgericht, 2010-03-12, DE</w:t>
      </w:r>
    </w:p>
    <w:p>
      <w:r>
        <w:rPr>
          <w:b/>
        </w:rPr>
        <w:t xml:space="preserve">Quelle: </w:t>
      </w:r>
      <w:r>
        <w:t>https://mcp.opencaselaw.ch/entscheid/bvger_D-208_2008</w:t>
      </w:r>
    </w:p>
    <w:p>
      <w:r>
        <w:t>FR: TAF D-208/2008 du 12 mars 2010</w:t>
      </w:r>
    </w:p>
    <w:p>
      <w:r>
        <w:t>IT: TAF D-208/2008 del 12 marzo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c Ziff. 3 des Bundesgerichtsgesetzes vom 17. Juni 2005 [BGG, SR 173.110]).</w:t>
      </w:r>
    </w:p>
    <w:p>
      <w:r>
        <w:rPr>
          <w:b/>
        </w:rPr>
        <w:t>E. 1.2</w:t>
      </w:r>
    </w:p>
    <w:p>
      <w:r>
        <w:t>Die Beschwerde ist frist- und formgerecht eingereicht (Art. 50 Abs. 1 und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5-7 - für Personen, die im Zeitpunkt des Inkrafttretens der am 16. Dezember 2005 beschlossenen Änderung des Asylgesetzes sowie des AuG vorläufig aufgenommen sind, neues Recht. Der Beschwerdeführer wurde vom BFM mit Verfügung vom 29. September 2005 gestützt auf Art. 44 Abs. 2 AsylG i.V.m. Art. 14a Abs. 4 aANAG vorläufig aufgenommen. Aufgrund der genannten übergangsrechtlichen Bestimmungen ist das Vorliegen der Voraussetzungen für die Aufnahme der vorläufigen Aufnahme nach neuem Recht, mithin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Drittstaat zu begeben.</w:t>
      </w:r>
    </w:p>
    <w:p>
      <w:r>
        <w:rPr>
          <w:b/>
        </w:rPr>
        <w:t>E. 5.1</w:t>
      </w:r>
    </w:p>
    <w:p>
      <w:r>
        <w:t>Der Vollzug ist nicht zulässig, wenn völkerrechtliche Verpflichtungen der Schweiz einer Weiterreise der Ausländerin oder des Ausländers in den Heimat-, Herkunfts- oder in einen Drittstaat entgegenstehen (Art. 83 Abs. 3 AuG).</w:t>
      </w:r>
    </w:p>
    <w:p>
      <w:r>
        <w:rPr>
          <w:b/>
        </w:rPr>
        <w:t>E. 5.1.1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Der Grundsatz der Nichtrückschiebung schützt nur Personen, die die Flüchtlingseigenschaft erfüllen (vgl. Mario Gattiker, Das Asyl- und Wegweisungsverfahren, 3. Aufl., Bern 1999, S. 89). Die Feststellung, der Beschwerdeführer erfülle die Flüchtlingseigenschaft nicht, ist in Rechtskraft erwachsen, weshalb das in Art. 5 AsylG verankerte Prinzip des flüchtlingsrechtlichen Non-Refoulements im vorliegenden Verfahren keine Anwendung finden kann. Eine Rückkehr des Beschwerdeführers in den kurdisch verwalteten Nordirak ist daher unter dem Aspekt von Art. 5 AsylG rechtmässig.</w:t>
      </w:r>
    </w:p>
    <w:p>
      <w:r>
        <w:rPr>
          <w:b/>
        </w:rPr>
        <w:t>E. 5.1.3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Das ist vorliegend jedoch nicht der Fall, zumal der Beschwerdeführer anlässlich der Befragungen als Ausreisegrund stets nur die allgemein schlechten Lebensbedingungen in seiner Heimat nannte. Auch die allgemeine Menschenrechtssituation im Nordirak lässt den Wegweisungsvollzug zum heutigen Zeitpunkt nicht als unzulässig erscheinen (vgl. UK Home Office, Country of Origin Information Report vom 16. September 2009 über die Kurdistan Regional Government of Iraq, Ziffern 11-21, und Country of Origin Information Report Iraq vom 10. Dezember 2009, Ziffern 7-19; zur Sicherheitslage im Nordirak vgl. Entscheide des Schweizerischen Bundesverwaltungsgerichts [BVGE] 2008/4 E. 6 S. 40 ff.).</w:t>
      </w:r>
    </w:p>
    <w:p>
      <w:r>
        <w:rPr>
          <w:b/>
        </w:rPr>
        <w:t>E. 5.1.4</w:t>
      </w:r>
    </w:p>
    <w:p>
      <w:r>
        <w:t>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ist aufgrund einer umfassenden Beurteilung der aktuellen Situation in den nordirakischen Provinzen (...),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Die Darlegungen in der Stellungnahme vom 30. Juli 2007 beschränkten sich im Wesentlichen auf die Behauptung, die Situation in den drei nordirakischen Provinzen sei weiterhin gefährlich, und in der Rechtsmitteleingabe vom 12. Januar 2008 äusserte sich der Beschwerdeführer fast ausschliesslich zu seiner Integration in der Schweiz. Auch die vom neu bestellten Rechtsvertreter am 22. Januar 2010 zu den Akten gegebenen, dem Internet entnommenen Berichte über Zwischenfälle im Nordirak vermögen an der erwähnten Lageeinschätzung nichts zu ändern. Die Sicherheitssituation im Nordirak hat sich nämlich seit der Publikation des erwähnten Urteils nicht verschlechtert. In der überwiegenden Mehrheit der Berichte von Regierungs- und Nichtregierungsorganisationen sowie des UN-Sicherheitsrats wird eine insgesamt stabile Situation beschrieben (vgl. die beiden vorstehend unter E. 5.1.3 erwähnten Berichte des UK Home Office). Auch die Schweizerische Flüchtlingshilfe (SFH) spricht in einem Lagebericht vom Sommer 2008 von einer "vergleichsweise friedlichen und stabilen Situation" in den kurdischen Provinzen. Die 2007 begonnene und 2008 fortgesetzte türkische Militäroffensive gegen PKK-Stellungen im Nordirak sowie grenzüberschreitende Bombenangriffe des iranischen Militärs hätten die allgemeine Sicherheitslage jedenfalls nicht beeinflusst (Michael Kirschner, SFH, Irak, Update: Aktuelle Entwicklungen, vom 14. August 2008, Ziff. 3.1, S. 9).</w:t>
      </w:r>
    </w:p>
    <w:p>
      <w:r>
        <w:rPr>
          <w:b/>
        </w:rPr>
        <w:t>E. 5.2.2</w:t>
      </w:r>
    </w:p>
    <w:p>
      <w:r>
        <w:t>Aus den Akten und den Angaben des Beschwerdeführers ergeben sich keine konkreten Anhaltspunkte, die darauf schliessen liessen, der junge, alleinstehende und soweit aktenkundig gesunde Beschwerdeführer gerate im Falle der Rückkehr in die nordirakische Provinz (...) aus individuellen Gründen wirtschaftlicher, sozialer oder gesundheitlicher Natur in eine seine Existenz bedrohende Situation. Der Beschwerdeführer verfügt gemäss eigenen Angaben über eine gute Schulbildung (vgl. Vorakten A7 S. 4) sowie über mehrjährige Berufserfahrung als Ladenbesitzer (in (...) bei (...)) und als Verkäufer in einem Lebensmittelgeschäft (in (...)). Seine Stiefmutter, seine Geschwister und Halbgeschwister leben nach wie vor in (...) beziehungsweise (...) bei (...) (vgl. Vorakten A1 S. 3 und A7 S. 2 ff.), so dass von einem tragfähigen Beziehungsnetz in der Herkunftsregion ausgegangen werden kann. In seiner Eingabe vom 22. Januar 2010 machte der neu bestellte Rechtsvertreter geltend, der Vater des Beschwerdeführers sei im Jahre 2001 mit seiner Familie vom Iran in den Irak zurückgekehrt, wo er später vermutlich von einer Mine getötet worden sei; daraufhin sei die Familie wieder aus dem Irak geflüchtet. Der Beschwerdeführer sei im Iran und nicht im Irak ansässig gewesen und habe im Irak weder Familie noch Freunde. Diese Darstellung widerspricht indessen klarerweise den vom Beschwerdeführer anlässlich der Befragungen gemachten Aussagen, wonach sein Vater bereits 1991 verstorben und die Stiefmutter acht Jahre später mit ihren Kindern und Stiefkindern in den Irak zurückgekehrt sei, wo die Familie nach wie vor lebe (vgl. Vorakten A1 S. 1 ff. und A7 S. 2 ff.). Entgegen der vom Rechtsvertreter in seiner Eingabe vom 22. Januar 2010 (vgl. S. 2) gemachten Behauptung, die Muttersprache seines Mandanten sei die persische, nicht die kurdische Sprache, erklärte der Beschwerdeführer in den Anhörungen zudem unzweideutig, seine Muttersprache sei Kurdisch, während er nur über mittelmässige Farsi-Kenntnisse verfüge (vgl. Vorakten A1 S. 2).</w:t>
      </w:r>
    </w:p>
    <w:p>
      <w:r>
        <w:rPr>
          <w:b/>
        </w:rPr>
        <w:t>E. 5.2.3</w:t>
      </w:r>
    </w:p>
    <w:p>
      <w:r>
        <w:t>In Bezug auf die in der Beschwerdeschrift vom 12. Januar 2008 und auch in der Eingabe vom 22. Januar 2010 enthaltenen Darlegungen zur guten Integration und finanziellen Unabhängigkeit des Beschwerdeführers in der Schweiz sowie in Bezug auf die zur Untermauerung dieser Darlegungen eingereichten Unterlagen (Bestätigung des Arbeitgebers, Schreiben von Bekannten, Liste mit Unterschriften von Personen, die sich für den weiteren Verbleib des Beschwerdeführers in der Schweiz einsetzen) ist festzuhalten, dass der Frage einer allfälligen Integration in der Schweiz bei der Frage der Zumutbarkeit des Wegweisungsvollzugs in der Regel keine Bedeutung zukommen kann, zumal mit der Revision des Asylgesetzes und dem Wegfall der Prüfung des Vorliegens einer schwerwiegenden persönlichen Notlage (Art. 44 Abs. 3 aAsylG) die entsprechende Rechtsprechung der ARK im vorliegenden Zusammenhang hinfällig geworden ist.</w:t>
      </w:r>
    </w:p>
    <w:p>
      <w:r>
        <w:rPr>
          <w:b/>
        </w:rPr>
        <w:t>E. 5.2.4</w:t>
      </w:r>
    </w:p>
    <w:p>
      <w:r>
        <w:t>Gestützt auf die vorstehenden Erwägungen ist der Vollzug der Wegweisung sowohl vor dem Hintergrund der allgemeinen Lage im Nordirak als auch in individueller Hinsicht als zumutbar zu erachten.</w:t>
      </w:r>
    </w:p>
    <w:p>
      <w:r>
        <w:rPr>
          <w:b/>
        </w:rPr>
        <w:t>E. 5.3</w:t>
      </w:r>
    </w:p>
    <w:p>
      <w:r>
        <w:t>Schliesslich bleibt gemäss Art. 83 Abs. 2 AuG zu prüfen, ob der Vollzug der Wegweisung möglich ist. Es bestehen direkte Flugverbindungen zwischen Europa und dem Nordirak (seit anfangs Februar 2010 etwa mit "Air Berlin" von München nach Erbil und seit Kurzem auch nach Suleimaniya). Die Beschaffung der für die Rückkehr notwendigen Reisedokumente obliegt dem Beschwerdeführer (Art. 8 Abs. 4 AsylG). Der Vollzug der Wegweisung ist somit auch als möglich zu bezeichnen.</w:t>
      </w:r>
    </w:p>
    <w:p>
      <w:r>
        <w:rPr>
          <w:b/>
        </w:rPr>
        <w:t>E. 6</w:t>
      </w:r>
    </w:p>
    <w:p>
      <w:r>
        <w:t>Zusammenfassend ist festzustellen, dass die Vorinstanz den Vollzug der Wegweisung in den Nordirak zu Recht als zulässig, zumutbar und möglich im Sinne von Art. 83 Abs. 1-4 AuG erachtet hat. Die vom BFM verfügte Aufhebung der vorläufigen Aufnahme ist daher zu bestätigen.</w:t>
      </w:r>
    </w:p>
    <w:p>
      <w:r>
        <w:rPr>
          <w:b/>
        </w:rPr>
        <w:t>E. 7</w:t>
      </w:r>
    </w:p>
    <w:p>
      <w:r>
        <w:t>Aus diesen Erwägungen ergibt sich, dass die angefochtene Verfügung Bundesrecht nicht verletzt, den rechtserheblichen Sachverhalt richtig und vollständig feststellt und angemessen ist (Art. 49 VwVG). Die Beschwerde ist nach dem Gesagten abzuweisen, soweit darauf einzutreten war.</w:t>
      </w:r>
    </w:p>
    <w:p>
      <w:r>
        <w:rPr>
          <w:b/>
        </w:rPr>
        <w:t>E. 8</w:t>
      </w:r>
    </w:p>
    <w:p>
      <w:r>
        <w:t>Bei diesem Ausgang des Verfahrens sind die Kosten desselben dem Beschwerdeführer aufzuerlegen (Art. 63 Abs. 1 und 5 VwVG sowie Art. 1-3 des Reglements vom 21. Februar 2008 über die Kosten und Entschädigungen vor dem Bundesverwaltungsgericht [VGKE, SR 173.320.2]). Diese werden auf Fr. 600.-- bestimmt und sind mit dem am 27. Januar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