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D-2082/2015 vom 8. September 2015</w:t>
      </w:r>
    </w:p>
    <w:p>
      <w:r>
        <w:t>Bundesverwaltungsgericht, 2015-09-08, DE</w:t>
      </w:r>
    </w:p>
    <w:p>
      <w:r>
        <w:rPr>
          <w:b/>
        </w:rPr>
        <w:t xml:space="preserve">Quelle: </w:t>
      </w:r>
      <w:r>
        <w:t>https://mcp.opencaselaw.ch/entscheid/bvger_D-2082_2015</w:t>
      </w:r>
    </w:p>
    <w:p>
      <w:r>
        <w:t>FR: TAF D-2082/2015 du 8 septembre 2015</w:t>
      </w:r>
    </w:p>
    <w:p>
      <w:r>
        <w:t>IT: TAF D-2082/2015 del 8 settembre 2015</w:t>
      </w:r>
    </w:p>
    <w:p>
      <w:pPr>
        <w:pStyle w:val="Heading2"/>
      </w:pPr>
      <w:r>
        <w:t>Regeste</w:t>
      </w:r>
    </w:p>
    <w:p>
      <w:r>
        <w:t>Asyl und Wegweisung (Beschwerde gegen Wiedererwägungsentscheid)</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des BGG).</w:t>
      </w:r>
    </w:p>
    <w:p>
      <w:r>
        <w:rPr>
          <w:b/>
        </w:rPr>
        <w:t>E. 1.2</w:t>
      </w:r>
    </w:p>
    <w:p>
      <w:r>
        <w:t>Der Beschwerdeführer hat am Verfahren vor der Vorinstanz teilgenommen, ist durch die angefochtene Verfügung besonders berührt, hat ein schutzwürdiges Interesse an deren Aufhebung beziehungsweise Änderung und ist daher zur Einreichung der Beschwerde legitimiert (Art. 105 AsylG i.V.m. Art. 37 VGG und Art. 48 Abs. 1 VwVG). Auf die frist- und formgerecht eingereichte Beschwerde (Art. 108 Abs. 1 AsylG; Art. 105 AsylG i.V.m. Art. 37 VGG und Art. 52 Abs. 1 VwVG) ist somit einzutreten.</w:t>
      </w:r>
    </w:p>
    <w:p>
      <w:r>
        <w:rPr>
          <w:b/>
        </w:rPr>
        <w:t>E. 2</w:t>
      </w:r>
    </w:p>
    <w:p>
      <w:r>
        <w:t>Die Kognition des Bundesverwaltungsgerichts und die zulässigen Rügen richten sich im Asylbereich nach Art. 106 Abs. 1 AsylG, im Bereich des Ausländerrechts nach Art. 112 AuG i.V.m. Art. 49 VwVG (vgl. BVGE 2014/26 E. 5.4 f.).</w:t>
      </w:r>
    </w:p>
    <w:p>
      <w:r>
        <w:rPr>
          <w:b/>
        </w:rPr>
        <w:t>E. 3.1</w:t>
      </w:r>
    </w:p>
    <w:p>
      <w:r>
        <w:t>Das Wiedererwägungsverfahren ist seit dem Inkrafttreten der Änderung des Asylgesetzes vom 14. Dezember 2012 am 1. Februar 2014 im Asylrecht spezialgesetzlich geregelt (vgl. Art. 111b ff. AsylG). Ein entsprechendes Gesuch ist dem SEM innert 30 Tagen nach Entdeckung des Wiedererwägungsgrundes schriftlich und begründet einzureichen; im Übrigen richtet sich das Verfahren nach den revisionsrechtlichen Bestimmungen von Art. 66-68 VwVG (Art. 111b Abs. 1 AsylG).</w:t>
      </w:r>
    </w:p>
    <w:p>
      <w:r>
        <w:rPr>
          <w:b/>
        </w:rPr>
        <w:t>E. 3.2</w:t>
      </w:r>
    </w:p>
    <w:p>
      <w:r>
        <w:t>Gemäss herrschender Lehre und ständiger Praxis des Bundesgerichts ergibt sich jedoch aus Art. 29 BV unter bestimmten Voraussetzungen ein verfassungsrechtlicher Anspruch auf Wiedererwägung (vgl. BGE 138 I 61 E. 4.3 S. 72 f.; 136 II 177 E. 2 S. 181 f., je mit weiteren Hinweisen). Danach hat die zuständige Behörde eine selbst getroffene Verfügung in Wiedererwägung zu ziehen, wenn sich der rechtserhebliche Sachverhalt seit dem ursprünglichen Entscheid beziehungsweise seit dem Urteil der mit Beschwerde angerufenen Rechtsmittelinstanz in wesentlicher Weise verändert hat und mithin die ursprünglich fehlerfreie Verfügung an nachträglich eingetretene Veränderungen der Sachlage anzupassen ist. Sodann können auch Revisionsgründe im Sinne von Art. 66 Abs. 2 VwVG einen Anspruch auf Wiedererwägung begründen, sofern sie sich auf eine in materielle Rechtskraft erwachsene Verfügung beziehen, die entweder unangefochten geblieben oder deren Beschwerdeverfahren mit einem formellen Prozessurteil abgeschlossen worden ist. Ein solchermassen als qualifiziertes Wiedererwägungsgesuch zu bezeichnendes Rechtsmittel ist grundsätzlich nach den Regeln des Revisionsverfahrens zu behandeln.</w:t>
      </w:r>
    </w:p>
    <w:p>
      <w:r>
        <w:rPr>
          <w:b/>
        </w:rPr>
        <w:t>E. 4.1</w:t>
      </w:r>
    </w:p>
    <w:p>
      <w:r>
        <w:t>Anfechtungsobjekt in einem Verfahren vor dem Bundesverwal-tungsgericht bildet der angefochtene vorinstanzliche Entscheid. Das zent-rale Element einer Verfügung ist das Dispositiv, d.h. die Verfügungsformel mit dem genauen Inhalt der für das betreffende Rechtsverhältnis ange-ordneten Rechte und Pflichten. Wesentlich ist, dass das relevante Ergeb-nis korrekt und vollständig im Dispositiv abgebildet wird, da grundsätzlich nur dieses in Rechtskraft erwächst und damit rechtsverbindlich ist und gegebenenfalls den Umfang des Streitgegenstandes begrenzt. Dement-sprechend ist grundsätzlich nur das Dispositiv eines Entscheids, nicht aber dessen Begründung anfechtbar (BGE 113 V 159 E. 1c). Bei einem Widerspruch zwischen Dispositiv und Erwägungen oder bei Unklarheit des Dispositivs ist der Entscheid nach seinem tatsächlichen Bedeutungs-gehalt zu verstehen. Die Auslegung hat nach den Regeln von Treu und Glauben zu erfolgen (vgl. Urteil des BundesverwaltungsgerichtsA-2064/2013 E. 1.3.3; Philippe Weissenberger in: Bernhard Waldmann/ Philippe Weissenberger [Hrsg.], Praxiskommentar zum VwVG, 2009, Art. 61 Rz. 44).</w:t>
      </w:r>
    </w:p>
    <w:p>
      <w:r>
        <w:rPr>
          <w:b/>
        </w:rPr>
        <w:t>E. 4.2</w:t>
      </w:r>
    </w:p>
    <w:p>
      <w:r>
        <w:t>Das SEM hat im Dispositiv seines Wiedererwägungsentscheids festgehalten, es trete auf das Wiedererwägungsgesuch nicht ein. Gleichzeitig hat es in den Erwägungen zum Ausdruck gebracht, es lehne dasselbe ab. Dem Beschwerdeführer sind hierdurch indessen keinerlei Rechtsnachteile erwachsen, entspricht doch die in der Verfügung enthaltene Rechtsmittelfrist von 30 Tagen zur Beschwerdeerhebung derjenigen, welche im Asylbereich auch materiellen Wiedererwägungsentscheiden des SEM zuerkannt wird (vgl. Art. 108 Abs. 1 AsylG). Ebenfalls keine Rechtsnachteile wären dem Beschwerdeführer erwachsen, wenn das SEM die Eingabe vom 14. Oktober 2014 richtigerweise als Gesuch um Familienasyl beziehungsweise als Mehrfachgesuch entgegengenommen hätte, beträgt die Rechtsmittelfrist doch auch in diesen Fällen 30 Tage (vgl. Art. 108 Abs. 1 AsylG).</w:t>
      </w:r>
    </w:p>
    <w:p>
      <w:r>
        <w:rPr>
          <w:b/>
        </w:rPr>
        <w:t>E. 5.1</w:t>
      </w:r>
    </w:p>
    <w:p>
      <w:r>
        <w:t>Vorab bleibt festzuhalten, dass der am 3. Februar 2014 getroffene Nichteintretensentscheid des SEM, worin dieses gestützt auf Art. 31a Abs. 1 Bst. b AsylG die Wegweisung des Beschwerdeführers nach Italien verfügt hat, durch das bestätigende Beschwerdeurteil D-1006/2014 des Bundesverwaltungsgerichts vom 7. März 2014 rechtskräftig geworden ist. Es bleibt zu prüfen, ob die im Rahmen des vorliegenden Verfahrens geltend gemachten Gründe dazu führen, um von einer wesentlich veränderten Sachlage im Verhältnis zu den Sachverhaltsumständen im Zeitpunkt des Nichteintretensentscheides vom 3. Februar 2014 sprechen zu müssen.</w:t>
      </w:r>
    </w:p>
    <w:p>
      <w:r>
        <w:rPr>
          <w:b/>
        </w:rPr>
        <w:t>E. 5.2</w:t>
      </w:r>
    </w:p>
    <w:p>
      <w:r>
        <w:t>Es bleibt weiter zu prüfen, ob der der im Rahmen des vorliegenden Verfahrens gestellte Hauptantrag, der Beschwerdeführer sei gestützt auf Art. 51 Abs. 1 AsylG in die Flüchtlingseigenschaft seiner Ehefrau einzubeziehen, im Kontext eines gestützt auf Art. 31a Abs. 1 Bst. b AsylG gefällten Nichteintretensentscheides überhaupt materiell geprüft werden kann. Da es sich bei der Prüfung der Anwendbarkeit von Art. 51 Abs. 1 AsylG indessen nicht um die Prüfung der originären, sondern um diejenige der derivativen (also abgeleiteten) Flüchtlingseigenschaft handelt, steht im vorliegenden Fall die Beurteilung der persönlichen Verfolgungssituation des Beschwerdeführers gar nicht im Raum. Die Prüfung der Anwendbarkeit von Art. 51 Abs. 1 AsylG erweist sich somit im Kontext des vorliegenden Verfahrens grundsätzlich als zulässig.</w:t>
      </w:r>
    </w:p>
    <w:p>
      <w:r>
        <w:rPr>
          <w:b/>
        </w:rPr>
        <w:t>E. 6</w:t>
      </w:r>
    </w:p>
    <w:p>
      <w:r>
        <w:t>Gemäss Art. 51 Abs. 1 AsylG werden - unter dem Titel Familienasyl - Ehegatten von asylberechtigten Flüchtlingen und deren minderjährige Kinder ihrerseits als Flüchtlinge anerkannt und erhalten Asyl, sofern keine besonderen Umstände dagegen sprechen. Dem Einbezug in die Flüchtlingseigenschaft und der Asylgewährung entgegenstehende besondere Umstände sind gemäss Rechtsprechung beispielsweise anzunehmen, wenn das Familienmitglied Bürger eines anderen Staates als der Flüchtling ist und die Familie in diesem Staat nicht gefährdet ist, wenn der Flüchtling seinen Status derivativ erworben hat, oder wenn das Familienleben während einer längeren Zeit nicht gelebt wurde und erkennbar ist, dass die Familienmitglieder nicht den Willen haben, als Familie zusammenzuleben. In jedem Fall bedingt die Zuerkennung der Flüchtlingseigenschaft, dass die anspruchsberechtigte Person ihren Heimat- oder Herkunftsstaat verlassen hat. Im Hinblick hierauf haben Personen, welche nach Art. 51 Abs. 1 AsylG als Flüchtlinge anzuerkennen sind, aus Art. 51 Abs. 4 AsylG einen Anspruch auf Erteilung einer Einreisebewilligung, sofern sie sich im Ausland aufhalten und durch die Flucht des anerkannten Flüchtlings getrennt wurden (vgl. zum Ganzen BVGE 2012/32 E. 5.1).</w:t>
      </w:r>
    </w:p>
    <w:p>
      <w:r>
        <w:rPr>
          <w:b/>
        </w:rPr>
        <w:t>E. 7.1</w:t>
      </w:r>
    </w:p>
    <w:p>
      <w:r>
        <w:t>Der Beschwerdeführer stellt sowohl in seiner Eingabe vom 14. Oktober 2014 als auch in der Beschwerde vom 31. März 2015 vorab den Antrag, er sei gestützt auf Art. 51 Abs. 1 AsylG in die Flüchtlingseigenschaft seiner Ehefrau einzubeziehen beziehungsweise es sei ihm gestützt auf diese Basis Asyl zu gewähren. Es ist somit nachfolgend zu prüfen, ob im vorliegenden Fall nach Abschluss des Dublin-Verfahrens eine erhebliche Veränderung der Sachlage eingetreten ist.</w:t>
      </w:r>
    </w:p>
    <w:p>
      <w:r>
        <w:rPr>
          <w:b/>
        </w:rPr>
        <w:t>E. 7.1.1</w:t>
      </w:r>
    </w:p>
    <w:p>
      <w:r>
        <w:t>Der Beschwerdeführer beruft sich in diesem Zusammenhang vorab auf den Umstand, dass seiner Ehefrau B._______ sowie seinem Sohn H._______ am 24. Juli 2014 Asyl gewährt worden sei. Zunächst ist festzuhalten, dass dem in Art. 51 Abs. 1 erwähnten Ehegatten eines asylberechtigten Flüchtlings der in einer dauerhaften eheähnlichen Gemeinschaft lebende Partner rechtlich gleichgestellt ist (vgl. Martina Caroni/Tobias Grasdorf-Meyer/Lisa Ott/Nicole Scheiber, Migrationsrecht, 3. Aufl. 2014, S. 286). Aufgrund der bei den Akten befindlichen zahlreichen Hochzeitsfotos (vgl. Beschwerdedossier D-1006/2014) und den weitgehend übereinstimmenden Aussagen der Eheleute ist - im Sinne einer Abwägung der Glaubhaftigkeitselemente - zugunsten des Beschwerdeführers überwiegend davon auszugehen, dass die Eheleute tatsächlich am 7. Januar 2008 in Eritrea religiös geheiratet haben, obwohl sich keine Heiratsurkunde bei den Akten befindet. Somit kann sich der Beschwerdeführer grundsätzlich auf die Bestimmung von Art. 51 Abs. 1 AsylG berufen. In diesem Zusammenhang bleibt weiter auszuführen, dass die Bedingung einer durch Flucht getrennten Familiengemeinschaft nur für die in Art. 51 Abs. 4 AsylG umschriebene Konstellation gilt, wo sich der Ehepartner noch im Ausland befindet, also noch in die Schweiz einreisen muss. Befindet sich der Familienangehörige demgegenüber im Zeitpunkt des Gesuchs um Familienasyl bereits in der Schweiz, muss die Familiengemeinschaft nicht durch Flucht getrennt worden sein; darüber hinaus ist es in diesen Fällen auch nicht notwendig, dass die Familiengemeinschaft bereits im Heimatland bestanden hat (vgl. Martina Caroni/Tobias Grasdorf-Meyer/Lisa Ott/Nicole Scheiber, a.a.O., S. 286 und Entscheidungen und Mitteilungen der Schweizerischen Asylrekurskommission [EMARK] 2000 Nr. 11 E. 3b S. 89).</w:t>
      </w:r>
    </w:p>
    <w:p>
      <w:r>
        <w:rPr>
          <w:b/>
        </w:rPr>
        <w:t>E. 7.1.2</w:t>
      </w:r>
    </w:p>
    <w:p>
      <w:r>
        <w:t>Der Beschwerdeführer macht sodann in der Beschwerde vom 31. März 2015 geltend, er selbst, seine Ehefrau sowie ihr gemeinsamer Sohn würden nunmehr seit Herbst 2014 (also nach der Einreichung des Gesuchs um Familienasyl) gemeinsam als Familie zusammenleben, weshalb sie eine tatsächlich gelebte Familiengemeinschaft bilden würden. Mittlerweile würden sie ein weiteres gemeinsames Kind erwarten. Ihr bewusster Entscheid, trotz der derzeit schwierigen Situation in Bezug auf das Aufenthaltsrecht des Beschwerdeführers in der Schweiz ein weiteres Kind zu zeugen, zeige auf, wie stark ihr Wille sei, eine dauerhafte und stabile Beziehung zu führen. Im Weiteren hätten sie durch ihre jeweils vom 16. März 2015 datierenden schriftlichen Willensäusserungen zusätzlich zum Ausdruck gebracht, nicht nur aktuell eine Familiengemeinschaft zu bilden, sondern auch ihre Zukunft gemeinsam gestalten zu wollen. Aufgrund der sich nunmehr darstellenden Aktenlage ist davon auszugehen, dass der Beschwerdeführer, dessen Ehefrau sowie ihr Kind H._______ mittlerweile seit etwa elf Monaten in der Schweiz eine Familiengemeinschaft bilden. Ergänzend bleibt in diesem Kontext anzumerken, dass in Bezug auf das Kind H._______ ein vom 6. März 2014 stammendes Abstammungsgutachten eingereicht wurde, dem zufolge die Vaterschaft des Beschwerdeführers "nach aktueller Rechtsprechung als mit an Sicherheit grenzender Wahrscheinlichkeit" als erwiesen gelte. Dieses Abstammungsgutachten gelangte erst nach dem Beschwerdeurteil vom 7. März 2014 zur Kenntnis des Bundesverwaltungsgerichts, weshalb es vorliegend ebenfalls mitzuberücksichtigen ist. In Bezug auf das angeblich Ende Mai 2015 geborene zweite Kind des Paars liegt derzeit zwar weder eine zivilrechtliche Geburtsbestätigung noch der Nachweis der biologischen Vaterschaft des Beschwerdeführers vor. Unbenommen davon ist davon auszugehen, dass es sich auch bei diesem Kind um das leibliche Kind des Beschwerdeführers handeln dürfte, was die Annahme eines intakten Familienlebens zusätzlich untermauert.</w:t>
      </w:r>
    </w:p>
    <w:p>
      <w:r>
        <w:rPr>
          <w:b/>
        </w:rPr>
        <w:t>E. 7.2</w:t>
      </w:r>
    </w:p>
    <w:p>
      <w:r>
        <w:t>All diese Sachumstände lassen darauf schliessen, dass eine erheblich veränderte Sachlage vorliegt, welche die Prüfung des vorliegenden Gesuchs um Familienasyl als geboten erscheinen lässt.</w:t>
      </w:r>
    </w:p>
    <w:p>
      <w:r>
        <w:rPr>
          <w:b/>
        </w:rPr>
        <w:t>E. 8</w:t>
      </w:r>
    </w:p>
    <w:p>
      <w:r>
        <w:t>Aus diesen Erwägungen ergibt sich, dass die angefochtene Verfügung Bundesrecht verletzt und den rechtserheblichen Sachverhalt unrichtig sowie unvollständig feststellt (Art. 106 Abs. 1 AsylG). Die Beschwerde ist folglich gutzuheissen, die Verfügung des SEM vom 4. März 2015 aufzuheben und die Vorinstanz anzuweisen, das vorliegende Gesuch um Familienasyl zu prüfen.</w:t>
      </w:r>
    </w:p>
    <w:p>
      <w:r>
        <w:rPr>
          <w:b/>
        </w:rPr>
        <w:t>E. 9.1</w:t>
      </w:r>
    </w:p>
    <w:p>
      <w:r>
        <w:t>Bei diesem Ausgang des Verfahrens sind dem Beschwerdeführer keine Kosten aufzuerlegen (Art. 63 Abs. 1 und 2 VwVG).</w:t>
      </w:r>
    </w:p>
    <w:p>
      <w:r>
        <w:rPr>
          <w:b/>
        </w:rPr>
        <w:t>E. 9.2</w:t>
      </w:r>
    </w:p>
    <w:p>
      <w:r>
        <w:t>Die Beschwerdeinstanz kann der ganz oder teilweise obsiegenden Partei von Amtes wegen oder auf Begehren eine Entschädigung für ihr erwachsene notwendige und verhältnismässig hohe Kosten zusprechen (Art. 64 Abs. 1 VwVG i.V.m. Art. 7 Abs. 1 und 2 des Reglements vom 21. Februar 2008 über die Kosten und Entschädigungen vor dem Bundesverwaltungssgericht [VGKE, SR 173.320.2]). Die Rechtsvertreterin des Beschwerdeführers hat eine vom 31. März 2015 datierende Kostennote in Höhe von Fr. 1'170.- eingereicht, die dem Gericht sowohl hinsichtlich des Stundenansatzes als auch hinsichtlich des in Rechnung gestellten Zeitaufwands als angemessen erscheint. Die Vorinstanz ist demnach anzuweisen, dem Beschwerdeführer eine Parteientschädigung in Höhe von Fr. 1'170.-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