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D-2079/2015 vom 22. Juni 2015</w:t>
      </w:r>
    </w:p>
    <w:p>
      <w:r>
        <w:t>Bundesverwaltungsgericht, 2015-06-22, DE</w:t>
      </w:r>
    </w:p>
    <w:p>
      <w:r>
        <w:rPr>
          <w:b/>
        </w:rPr>
        <w:t xml:space="preserve">Quelle: </w:t>
      </w:r>
      <w:r>
        <w:t>https://mcp.opencaselaw.ch/entscheid/bvger_D-2079_2015</w:t>
      </w:r>
    </w:p>
    <w:p>
      <w:r>
        <w:t>FR: TAF D-2079/2015 du 22 juin 2015</w:t>
      </w:r>
    </w:p>
    <w:p>
      <w:r>
        <w:t>IT: TAF D-2079/2015 del 22 giugno 2015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in Verbindung mit Art. 48 Abs. 1 VwVG Parteistellung zukommt (vgl. BVGE 2008/15 E. 3.2, mit weiteren Hinweisen). Die Beschwerdeführerinnen, welche ein Asylgesuch aus dem Ausland gestellt und um Erlass eines entsprechenden Entscheids in Form einer anfechtbaren Verfügung ersucht haben, sind zur Beschwerde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Das schutzwürdige Interesse der Beschwerdeführerinnen an der Vornahme der allenfalls verzögerten Amtshandlung manifestiert sich vorliegend in den bei den Akten liegenden Eingaben, mit welchen sie um beförderliche Verfahrenserledigung ersucht haben.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mit weiteren Hinweisen).</w:t>
      </w:r>
    </w:p>
    <w:p>
      <w:r>
        <w:rPr>
          <w:b/>
        </w:rPr>
        <w:t>E. 3.1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107 Ib 160 E. 3c; 103 V 190 E. 5c). Spezialgesetzliche Behandlungsfristen sind bei der Beurteilung der Angemessenheit der Verfahrensdauer zu berücksichtigen.</w:t>
      </w:r>
    </w:p>
    <w:p>
      <w:r>
        <w:rPr>
          <w:b/>
        </w:rPr>
        <w:t>E. 3.3</w:t>
      </w:r>
    </w:p>
    <w:p>
      <w:r>
        <w:t>Gemäss Art. 37 Abs. 2 AsylG sind Entscheide, die nicht unter die Kategorien von Abs. 1 des gleichen Artikels fallen (und in welchen eine Behandlungsfrist von fünf Arbeitstagen vorgegeben wird), in der Regel innerhalb von zehn Arbeitstagen nach der Gesuchstellung zu treffen. Die frühere Gesetzesbestimmung, wonach solche Verfahren in der Regel innerhalb von 20 Arbeitstagen nach der Gesuchstellung beziehungsweise in der Regel innerhalb von drei Monaten, wenn weitere Abklärungen nach aArt. 41 AsylG erforderlich sind (Art. 37 aAbs. 2 und 3 AsylG), wurde per 31. Januar 2014 aufgehoben (vgl. Übergangsbestimmungen zur Änderung vom 14. Dezember 2012). Allerdings gilt gemäss den Übergangsbestimmungen zur Änderung vom 28. September 2012 für bereits eingereichte Asylgesuche aus dem Ausland die Bestimmung von aArt. 41 Abs. 2 AsylG weiterhin, was nahe legt, dass bei dieser altrechtlichen Behandlungskategorie auch weiterhin die altrechtlichen Behandlungsfristen von drei Monaten "gelten" - gemeint ist immer: im Sinne von Ordnungsfristen - sollen. 4.1 Nachfolgend ist somit zu prüfen, ob sich die lange Verfahrensdauer im vorliegenden Fall mit objektiven Gründen rechtfertigen lässt. 4.2 Nicht in die Prüfung einbezogen wird allerdings der Zeitraum nach Eingang der Rechtsverzögerungsbeschwerde beim Gericht, da dieses für die Behandlung der Beschwerde notwendigerweise das vorinstanzliche Dossier beiziehen musste, womit der Vorinstanz eine Weiterbehandlung des Asylgesuchs praktisch verhindert war. 4.3 Das Ausland-Asylverfahren gemäss aArt. 20 AsylG weist zwar gewisse Besonderheiten auf, welche die Beachtung dieser Behandlungsfristen erschweren, namentlich die teilweise lange Dauer der postalischen Übermittlung von Korrespondenz und Akten. Andererseits bezweckt das Asylverfahren den Schutz höchster Rechtsgüter wie Leib, Leben und persönlicher Freiheit (vgl. etwa Art. 3 Abs. 2 AsylG) und die Asylsuchenden halten sich im Auslandverfahren häufig im behaupteten Verfolgerstaat auf, weshalb in diesen Fällen eine besonders beförderliche Behandlung der Gesuche sachlich geboten ist. 4.4 Vorliegend sind die Beschwerdeführerinnen bereits in einen Drittstaat weitergereist. Bei dieser Konstellation ist nach Lehre und Praxis im Sinn einer widerlegbaren Vermutung davon auszugehen, dass die Asylsuchenden dort Schutz vor Verfolgung gefunden haben (vgl. BVGE 2011/10 E. 5.1 mit weiteren Hinweisen). Allerdings haben sie wiederholt auf die schwierigen Lebensbedingungen hingewiesen. 4.5 Dem Bundesverwaltungsgericht ist die hohe Belastung des SEM bekannt. Dass angesichts dieser Pendenzenzahl momentan nicht jedes einzelne Asylverfahren innerhalb der Behandlungsfristen von Art. 37 aAbs. 3 AsylG abgeschlossen werden kann, ist nachvollziehbar. Das SEM hat zudem in der Tat bereits konkrete Massnahmen ergriffen, um den Abbau der hängigen Verfahren zu beschleunigen. Die in der Vernehmlassung dargelegten Überlegungen zur Priorisierung der Verfahren sind ebenfalls durchaus nachvollziehbar. 4.6 Das Asylverfahren der Beschwerdeführerinnen ist seit September 2012 hängig. Die Befragungsprotokolle sind Ende Juni 2014 an die Vor­instanz weitergeleitet worden. Seither sind, soweit aus den Akten ersichtlich, keine Instruktionshandlungen mehr erfolgt. So antwortete das SEM denn auch lediglich auf die fünfte Anfrage, während die vier vorangehenden unbeantwortet geblieben sind. Diese Untätigkeit der Vorinstanz für etwa neun Monate zwischen Juni 2014 und April 2015 (Zeitpunkt der Einreichung der Rechtsverzögerungsbeschwerde) trotz fünfmaliger Verfahrensstandanfrage der Beschwerdeführerinnen lässt sich objektiv nicht rechtfertigen. 4.7 Das Bundesgericht hat in seiner Rechtsprechung zum Rechtsverzögerungsverbot festgehalten, dass eine mangelhafte Organisation oder eine strukturelle Überbelastung übermässig lange Verfahrensdauern nicht rechtfertigen können. Geschäftslast und Personalmangel könnten eine Verletzung von Verfassungsrecht nicht durchbrechen. Es wird entsprechend für die Bejahung einer Verletzung des Rechtsverzögerungsgebots nicht vorausgesetzt, dass der Behörde ein Fehlverhalten oder ein Verschulden vorgeworfen werden kann. Eine Behörde verletzt deshalb das Rechtsverzögerungsverbot auch dann, wenn sie wegen Personalmangels oder Überlastung nicht innert angemessener Frist verfügt (vgl. BGE 130 I 312 E. 5.2, 107 Ib 160 E. 3c und 103 V 190 E. 5c; Urteil des Eidgenössischen Versicherungsgerichts H 2/06 vom 10. April 2006, E. 4.1; vgl. auch Auer/Malinverni/Hottelier, Droit constitutionnel suisse, Bd. II, 2. Aufl. 2006, Rz. 1277 f., Michel Hottelier, Les garanties de procédure, in: Thürer/Aubert/Müller (Hrsg.), Verfassungsrecht der Schweiz, Droit constitutionnel suisse, Zürich 2001, Rz. 7). Diese Grundsätze ergeben sich aus dem Umstand, dass das Beschleunigungsgebot von Art. 29 BV ein prozessuales Grundrecht darstellt und damit ein individuelles (Prozess-)Recht der Beschwerdeführerinnen statuiert. Sie gelten auch für nichtstreitige Verwaltungsverfahren und, angesichts der Belastung, die eine übermässig lange Dauer eines Asylverfahrens für eine Gesuchstellerin darstellt, insbesondere für das Asylverfahren. Das SEM kann sich deshalb zur Rechtfertigung der langen Verfahrensdauer grundsätzlich nicht auf die hohe Geschäftslast und mangelnde Ressourcen berufen. Dies gilt unabhängig davon, ob das SEM alles in seiner Macht Stehende tut, um die pendenten Verfahren so schnell wie möglich und in einer angemessenen Reihenfolge abzubauen. 4.8 Die Rechtsverzögerungsbeschwerde ist gutzuheissen, und die Akten sind dem SEM mit der Anweisung zu überweisen, das Asylgesuch ohne weitere Verzögerung an die Hand zu nehmen und zügig abzuschliessen (Art. a20 Abs. 2 AsylG). Von der Ansetzung einer Frist, innert welcher das erstinstanzliche Verfahren erledigt sein muss, ist allerdings abzusehen.</w:t>
      </w:r>
    </w:p>
    <w:p>
      <w:r>
        <w:rPr>
          <w:b/>
        </w:rPr>
        <w:t>E. 5.1</w:t>
      </w:r>
    </w:p>
    <w:p>
      <w:r>
        <w:t>Bei diesem Ausgang des Verfahrens sind keine Verfahrenskosten zu erheben (Art. 63 Abs. 1 VwVG). Den Beschwerdeführinnen ist der geleistete Kostenvorschuss zurückzuerstatten.</w:t>
      </w:r>
    </w:p>
    <w:p>
      <w:r>
        <w:rPr>
          <w:b/>
        </w:rPr>
        <w:t>E. 5.2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Rechtsvertretung keine Kostennote eingereicht hat, ist die Parteientschädigung auf Grund der Akten festzulegen (Art. 14 Abs. 2 in fine VGKE). Unter Berücksichtigung der massgeblichen Bemessungsfaktoren (vgl. Art. 8 ff. VGKE) ist diese auf insgesamt Fr. 600.- festzusetzen (Art. 14 Abs. 2 und Art. 10 Abs. 2 VGKE). Das SEM ist anzuweisen, den Beschwerdeführerinnen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