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D-2059/2018 vom 10. Oktober 2018</w:t>
      </w:r>
    </w:p>
    <w:p>
      <w:r>
        <w:t>Bundesverwaltungsgericht, 2018-10-10, DE</w:t>
      </w:r>
    </w:p>
    <w:p>
      <w:r>
        <w:rPr>
          <w:b/>
        </w:rPr>
        <w:t xml:space="preserve">Quelle: </w:t>
      </w:r>
      <w:r>
        <w:t>https://mcp.opencaselaw.ch/entscheid/bvger_D-2059_2018</w:t>
      </w:r>
    </w:p>
    <w:p>
      <w:r>
        <w:t>FR: TAF D-2059/2018 du 10 octobre 2018</w:t>
      </w:r>
    </w:p>
    <w:p>
      <w:r>
        <w:t>IT: TAF D-2059/2018 del 10 ottobre 2018</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w:t>
      </w:r>
    </w:p>
    <w:p>
      <w:r>
        <w:t>Die formellen Rügen der Beschwerdeführenden, wonach das SEM ihren Anspruch auf rechtliches Gehör verletze und den Sachverhalt unrichtig und unvollständig abgeklärt habe, erweisen sich aus den in der Zwischenverfügung vom 20. April 2018 festgehaltenen Gründen als nicht stichhaltig. Unter diesen Umständen ist der entsprechende Eventualantrag um Rückweisung der Sache an die Vorinstanz zur Neubeurteilung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angefochtenen Verfügung zum Schluss, die im Asylgesuch genannten Fluchtgründe würden weder den Anforderungen an die Flüchtlingseigenschaft gemäss Art. 3 AsylG noch denjenigen an die Glaubhaftigkeit gemäss Art. 7 AsylG standhalten. Einerseits entbehrten die Ausführungen der Substanz, gründeten auf blossen Vermutungen und seien logisch nicht nachvollziehbar. Andererseits würden den dokumentierten strafrechtlichen Verfahren rein gemeinrechtliche Gründe zugrunde liegen und es lägen keine Anzeichen für einen Politmalus vor. Sodann entbehrten die im Jahre (...) datierenden Übergriffe der zeitlichen Kausalität zwischen Ereignis und Flucht und der mazedonische Staat sei als schutzwillig und schutzfähig zu erachten. Die Ereignisse um den (Nennung Verwandter) des Beschwerdeführers sowie die Probleme am Arbeitsplatz der Beschwerdeführerin seien als nicht asylrelevant einzustufen. Die eingereichten Beweismittel vermöchten nicht zu einer anderen Einschätzung zu führen.</w:t>
      </w:r>
    </w:p>
    <w:p>
      <w:r>
        <w:rPr>
          <w:b/>
        </w:rPr>
        <w:t>E. 4.2</w:t>
      </w:r>
    </w:p>
    <w:p>
      <w:r>
        <w:t>In der Beschwerdeschrift hielten die Beschwerdeführenden - abgesehen von den formellen Rügen - im Wesentlichen an den bisherigen Gründen für ihre Asylgesuche fest. Ergänzend reichten sie mit Eingaben vom 7. Mai 2018 und 2. Juli 2018 (Nennung Beweismittel) nach (vgl. Bst. J und K).</w:t>
      </w:r>
    </w:p>
    <w:p>
      <w:r>
        <w:rPr>
          <w:b/>
        </w:rPr>
        <w:t>E. 5.1</w:t>
      </w:r>
    </w:p>
    <w:p>
      <w:r>
        <w:t>Vorliegend erweisen sich nach Ansicht des Bundesverwaltungsgerichts die Ausführungen in der angefochtenen Verfügung aufgrund der Akten als zutreffend. Die Vorbringen in der Beschwerdeschrift und den weiteren Eingaben sowie die eingereichten Beweismittel sind nicht geeignet, an der vor- instanzlichen Einschätzung etwas zu ändern. Es kann in diesem Zusammenhang auf die zu bestätigenden Ausführungen der Vorinstanz im angefochtenen Entscheid und auf die Zwischenverfügung vom 20. April 2018, worin einlässlich dargelegt wurde, dass die in der Rechtsmitteleingabe vorgebrachten Einwände sowie die diesbezüglich eingereichten relevanten Dokumente die vom SEM getroffenen Schlussfolgerungen nicht umzustossen vermöchten, verwiesen werden. Sodann ist festzuhalten, dass gemäss Schutztheorie zudem Schutz vor nichtstaatlicher Verfolgung erhältlich sein muss (vgl. BVGE 2008/4 E. 5.2 m.w.H.). Dies ist in Mazedonien, welches vom Bundesrat angesichts der innenpolitischen Situation als verfolgungssicherer Staat (safe country) im Sinne von Art. 6a Abs. 2 lit. a AsylG bezeichnet wurde und wo Schutz vor nichtstaatlicher Verfolgung gewährleistet ist, gegeben. Den Beschwerdeführenden gelingt es nicht, diese gesetzliche Regelvermutung umzustossen. Des Weiteren ist hinzuzufügen, dass die Beziehungen zwischen den beiden grössten Bevölkerungsgruppen Mazedoniens, den ethnischen Mazedoniern und Albanern, zwar als angespannt zu bezeichnen sind, dass aber nicht von einer staatlichen oder gar systematischen Diskriminierung der albanischen Bevölkerungsgruppe von staatlicher Seite respektive von einem ungenügenden Schutzwille oder Schutzfähigkeit der staatlichen Behörden gesprochen werden kann (vgl. Urteil des BVGer D-4061/2014 vom 23. Juli 2015). An dieser Einschätzung vermögen auch die nach Erlass der erwähnten Zwischenverfügung eingereichten weiteren Dokumente nichts zu ändern, wurden diese doch grösstenteils bereits im vorinstanzlichen Verfahren ins Recht gelegt, betreffen einen überwiegend unbestrittenen Sachverhalt, nehmen teilweise - so die Zeitungsausschnitte zur allgemeinen Situation in Mazedonien - gar keinen persönlichen Bezug zu den Beschwerdeführenden und sind nicht geeignet, zu einer anderen als der bisherigen Schlussfolgerung zu führen.</w:t>
      </w:r>
    </w:p>
    <w:p>
      <w:r>
        <w:rPr>
          <w:b/>
        </w:rPr>
        <w:t>E. 5.2</w:t>
      </w:r>
    </w:p>
    <w:p>
      <w:r>
        <w:t>Das SEM hat somit die Asylgesuche der Beschwerdeführenden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7.2.1</w:t>
      </w:r>
    </w:p>
    <w:p>
      <w:r>
        <w:t>Der Vollzug der Wegweisung ist vorliegend in Beachtung dieser massgeblichen völker- und landesrechtlichen Bestimmungen zulässig , da es den Beschwerdeführenden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7.2.2</w:t>
      </w:r>
    </w:p>
    <w:p>
      <w:r>
        <w:t>Mit Blick auf den in den ärztlichen Unterlagen enthaltenen passiven Todeswunsch des Beschwerdeführers ist anzumerken, dass der wegweisende Staat gemäss Praxis des Europäischen Gerichtshofs für Menschenrechte (EGMR) nicht verpflichtet ist, vom Vollzug der Ausweisung Abstand zu nehmen, falls Ausländer für den Fall des Vollzugs des Wegweisungsentscheids mit Suizid drohen. Ergreift der wegweisende Staat Massnahmen, um die Umsetzung einer Suiziddrohung zu verhindern, vermag die Ausschaffung nicht gegen Art. 3 EMRK zu verstossen (vgl. die Entscheide des EGMR vom 30. Juni 2015 i.S. A.S. gegen die Schweiz, Nr. 39350/13, und vom 7. Oktober 2004 i.S. Dragan und andere gegen Deutschland, Nr. 33743/03, letzteres angeführt in EMARK 2005 Nr. 23 E. 5.1 S. 212, Urteil des BGer 2C_856/2015 vom 10. Oktober 2015 E. 3.2.1). Im konkreten Fall besteht Gewähr dafür, dass nötigenfalls geeignete Massnahmen ergriffen werden könnten mit dem Ziel, allfällige suizidale Tendenzen beim Beschwerdeführer im Zusammenhang mit der Ausschaffung zu verhindern.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Nachdem Mazedonien als verfolgungssicherer Staat gemäss Art. 6a Abs. 2 AsylG gilt, in welchem weder eine Situation von Krieg, Bürgerkrieg oder allgemeiner Gewalt herrscht, ist in konstanter Praxis von der generellen Zumutbarkeit des Wegweisungsvollzugs auszugehen. Auch in individueller Hinsicht sind keine Gründe ersichtlich, welche eine Wegweisung als unzumutbar erscheinen liessen. So kommen den Beschwerdeführenden ihre Ausbildung und die entsprechend langjährige Berufserfahrung beim Aufbau einer neuen wirtschaftlichen Existenz entgegen. Überdies leben im Heimatort noch verschiedene Verwandte, die ihnen bei der Reintegration behilflich sein können. Im Weiteren steht es den Beschwerdeführenden angesichts der in Mazedonien bestehenden medizinischen Infrastruktur und dem Umstand, dass für rückkehrende Asylsuchende der Zugang zur kostenfreien Gesundheitsfürsorge gewährleistet ist, offen, sich in ihrer Heimat weiterbehandeln zu lassen (vgl. bspw. Urteil des BVGer D-5796/2017 vom 23. Februar 2018).</w:t>
      </w:r>
    </w:p>
    <w:p>
      <w:r>
        <w:rPr>
          <w:b/>
        </w:rPr>
        <w:t>E. 7.3.2</w:t>
      </w:r>
    </w:p>
    <w:p>
      <w:r>
        <w:t>Sind von einem Wegweisungsvollzug auch Kinder betroffen, so bildet im Rahmen der Zumutbarkeitsprüfung das Kindeswohl gemäss Art. 3 des Übereinkommens vom 20. November 1989 über die Rechte des Kindes (KRK, SR 0.107) einen Gesichtspunkt von gewichtiger Bedeutung. Vorliegend kann mit Blick auf den Aufenthalt und eine damit verbundene Integration der Kinder in der Schweiz kein Verstoss gegen das Kindeswohl erblickt werden. Die Kinder sind (...), knapp (...) und (...) Jahre alt. Alle Kinder sind somit aufgrund ihres Alters noch in erster Linie an ihren Eltern orientiert. Die beiden älteren Kinder halten sich seit (...) Jahren in der Schweiz auf und besuchen hier die Schule beziehungsweise den Kindergarten, während das jüngste in der Schweiz geboren ist. Damit dürften sie eine gewisse Integration in der Schweiz erfahren haben, doch lassen sich den Akten keine Anhaltpunkte für eine derart fortgeschrittene Verwurzelung in der Schweiz entnehmen, dass zu schliessen wäre, eine Rückkehr nach Mazedonien sei unter dem Aspekt des Kindeswohls unzumutbar. Aufgrund der ursprünglichen Sozialisierung der beiden älteren Kinder in Mazedonien sind sie mit der Kultur ihrer Eltern und auch mit der albanischen Sprache vertraut, so dass ihnen eine Reintegration in der Heimat problemlos gelingen dürfte.</w:t>
      </w:r>
    </w:p>
    <w:p>
      <w:r>
        <w:rPr>
          <w:b/>
        </w:rPr>
        <w:t>E. 7.3.3</w:t>
      </w:r>
    </w:p>
    <w:p>
      <w:r>
        <w:t>Nach dem Gesagten erweist sich der Vollzug der Wegweisung auch als zumutbar.</w:t>
      </w:r>
    </w:p>
    <w:p>
      <w:r>
        <w:rPr>
          <w:b/>
        </w:rPr>
        <w:t>E. 7.4</w:t>
      </w:r>
    </w:p>
    <w:p>
      <w:r>
        <w:t>Schliesslich obliegt es den Beschwerdeführenden, sich - soweit erforderlich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Aufgrund der vorstehenden Erwägungen erweisen sich die gestellten Begehren als aussichtslos, weshalb das mit Eingabe vom 7. Mai 2018 wiedererwägungsweise gestellte Gesuch um unentgeltliche Prozessführung und um Beiordnung eines amtlichen Rechtsbeistands abzuweisen ist (Art. 65 Abs. 1 und 2 VwVG).</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25. April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