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D-2056/2024 vom 4. März 2024</w:t>
      </w:r>
    </w:p>
    <w:p>
      <w:r>
        <w:t>Bundesverwaltungsgericht, 2024-03-04, DE</w:t>
      </w:r>
    </w:p>
    <w:p>
      <w:r>
        <w:rPr>
          <w:b/>
        </w:rPr>
        <w:t xml:space="preserve">Quelle: </w:t>
      </w:r>
      <w:r>
        <w:t>https://mcp.opencaselaw.ch/entscheid/bvger_D-2056_2024_d20240304</w:t>
      </w:r>
    </w:p>
    <w:p>
      <w:r>
        <w:t>FR: TAF D-2056/2024 du 4 mars 2024</w:t>
      </w:r>
    </w:p>
    <w:p>
      <w:r>
        <w:t>IT: TAF D-2056/2024 del 4 marzo 2024</w:t>
      </w:r>
    </w:p>
    <w:p>
      <w:pPr>
        <w:pStyle w:val="Heading2"/>
      </w:pPr>
      <w:r>
        <w:t>Regeste</w:t>
      </w:r>
    </w:p>
    <w:p>
      <w:r>
        <w:t>Asyl und Wegweisung | Asyl und Wegweisung; Verfügung des SEM vom 4.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D-2056/2024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 Das Gericht kann auch in solchen Fällen auf die Durchführung eines Schriften- wechsels verzichten (vgl. Art. 111a Abs. 1 AsylG).</w:t>
      </w:r>
    </w:p>
    <w:p>
      <w:r>
        <w:rPr>
          <w:b/>
        </w:rPr>
        <w:t>E. 4</w:t>
      </w:r>
    </w:p>
    <w:p>
      <w:r>
        <w:t>4.1 Der Beschwerdeführer rügt, die Vorinstanz habe den rechtserheblichen Sachverhalt unvollständig sowie unzutreffend festgestellt, indem sie seine Ausführungen zur Reflexverfolgung als unbegründet eingestuft und im Zusammenhang mit seinem Gesundheitszustand keine weiteren medizinischen Abklärungen getätigt habe. Diese formellen Rügen sind vorab zu prüfen, da deren Begründetheit die Kassation der angefochtenen Verfügung bewirken könnte.</w:t>
      </w:r>
    </w:p>
    <w:p>
      <w:r>
        <w:rPr>
          <w:b/>
        </w:rPr>
        <w:t>E. 4.1</w:t>
      </w:r>
    </w:p>
    <w:p>
      <w:r>
        <w:t>Der Beschwerdeführer rügt, die Vorinstanz habe den rechtserheblichen Sachverhalt unvollständig sowie unzutreffend festgestellt, indem sie seine Ausführungen zur Reflexverfolgung als unbegründet eingestuft und im Zu- sammenhang mit seinem Gesundheitszustand keine weiteren medizini- schen Abklärungen getätigt habe. Diese formellen Rügen sind vorab zu prüfen, da deren Begründetheit die Kassation der angefochtenen Verfügung bewirken könnte.</w:t>
      </w:r>
    </w:p>
    <w:p>
      <w:r>
        <w:rPr>
          <w:b/>
        </w:rPr>
        <w:t>E. 4.2</w:t>
      </w:r>
    </w:p>
    <w:p>
      <w:r>
        <w:t>Die Rügen erweisen sich als unbegründet. Die Vorinstanz hat den rechtserheblichen Sachverhalt rechtsgenüglich festgestellt, dass Dossier des Bruders korrekt beigezogen (vgl. angefochtene Verfügung S. 3), ihren Entscheid in tatsächlicher und rechtlicher Hinsicht nachvollziehbar begrün- det und im Einzelnen hinreichend differenziert dargelegt, von welchen Überlegungen sie sich leiten liess (vgl. angefochtene Verfügung S. 4 ff.). Der Beschwerdeführer legt keine konkreten Anhaltspunkte dar, welche Zweifel an der vorinstanzlichen Sachverhaltsfeststellung zu begründen vermöchten. Er verweist zwar auf einzelne Medienberichterstattungen aus dem In- und Ausland, legt jedoch nicht dar – und es ist auch aus den zitier- ten Quellen sowie den im Rahmen der Replik ins Recht gelegten Doku- menten nicht zu entnehmen – inwiefern diesen im vorliegenden Verfahren entscheidrelevante Bedeutung zukommen sollen (vgl. Beschwerde S. 5 ff.; Replik S. 1 f.). Seine Einwände sind nicht geeignet, eine flüchtlingsrecht- lich relevante Gefährdung zu belegen. Die Vorinstanz muss sich nicht mit allen Parteistandpunkten einlässlich auseinandersetzen und jedes ein- zelne Vorbringen ausdrücklich widerlegen (vgl. BGE 143 III 65 E. 5.2). Der</w:t>
      </w:r>
    </w:p>
    <w:p>
      <w:r>
        <w:t>D-2056/2024 Seite 5 Umstand, dass der Beschwerdeführer die Schlussfolgerungen der Vo- rinstanz nicht teilt, beschlägt im Übrigen nicht formell-rechtliche Ansprüche, sondern die materiell-rechtliche Würdigung des Sachverhalts. Dass weitere medizinische Abklärungen neue, überstellungsrelevante Er- kenntnisse zu Tage fördern würden, ist nicht zu erwarten. Darauf durfte die Vorinstanz in antizipierter Beweiswürdigung verzichten (vgl. BGE 141 I 60 E. 3.3; 136 I 229 E. 5.3; Urteil BVGer F-3957/2022 vom 14. November 2022 E. 6.4). Der medizinische Sachverhalt erweist sich mit Blick auf eine mögliche Verletzung von Art. 3 EMRK somit als hinreichend abgeklärt. Eine Rückweisung der Sache an die Vorinstanz ist auch in dieser Hinsicht nicht angezeigt.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Hinsichtlich der vom Beschwerdeführer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relevant sein kann.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w:t>
      </w:r>
    </w:p>
    <w:p>
      <w:r>
        <w:t>D-2056/2024 Seite 6 des BVGer E-2734/2015 vom 16. April 2018 m.w.H.). Hinsichtlich der vom Beschwerdeführer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5.2.2</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4–8). Die vorinstanzliche Schlussfolgerung ist weder in tatsächlicher noch in rechtlicher Hinsicht zu beanstanden. Die Beschwerdevorbringen sind nicht ansatzweise geeignet, zu einer von der Vorinstanz abweichen- den Betrachtungsweise zu gelangen, vermögen sie dieser doch nichts Stichhaltiges entgegenzuhalten (vgl. Beschwerde S. 5–7, Replik S. 1 f.). Was die erlittenen Nachteile aufgrund der Ethnie und Herkunft des Be- schwerdeführers anbelangt, hat die Vorinstanz zutreffend festgestellt, dass es sich bei diesen nicht um ernsthafte Nachteile im Sinne des Asylgesetzes handelt, die einen Verbleib im Heimatland verunmöglicht oder unzumutbar erschwert hätten, konnte der Beschwerdeführer doch trotzdem das Gym- nasium abschliessen und in der Türkei bis zu seiner Ausreise ein geregel- tes Leben führen. Die vom Beschwerdeführer konkret geltend gemachten Vorkommnisse gehen in ihrer Intensität nicht über die Nachteile hinaus, welche weite Teile der kurdischen und alevitischen Bevölkerung in der Tür- kei in ähnlicher Weise treffen können (vgl. Urteil des BVGer E-4103/2024 vom 8. November 2024 E. 7.1 m.w.H.).</w:t>
      </w:r>
    </w:p>
    <w:p>
      <w:r>
        <w:t>D-2056/2024 Seite 7 Auch die Nachteile, welche der Beschwerdeführer angeblich im Zusam- menhang mit seinem älteren Bruder anlässlich der Polizeirazzien zuhause sowie den Belästigungen und Beschattungen erlitten haben will, sind man- gels hinreichender Intensität nicht als ernsthaft im Sinne von Art. 3 Abs. 2 AsylG zu qualifizieren. Wäre der Beschwerdeführer vor seiner Ausreise aus der Türkei ernsthaft von den Behörden gesucht worden, hätte ihn die Polizei anlässlich all dieser Möglichkeiten festnehmen können, was sie of- fensichtlich nicht getan hat. Überdies sind auch die weiteren geltend ge- machten Vorfälle, namentlich die angebliche Entführung durch Polizei und Geheimdienst sowie die unter Todesdrohung erzwungene Kooperations- zusage, unter flüchtlingsrechtlichen Gesichtspunkten nicht von hinreichen- der Relevanz, zumal sich keinerlei Hinweise in den Akten finden, dass der Beschwerdeführer dadurch ernsthafte Nachteile im Sinne von Art. 3 AsylG erlitten hätte (vgl. SEM-act. 30/12 F12, 20). Auch sein politisches Engage- ment erweist sich nach Aktenlage als von begrenztem Ausmass, handelte es sich dabei doch lediglich um eine niederschwellige Beteiligung als Frei- williger und Sympathisant, ohne dass je eine Parteimitgliedschaft bestand (vgl. SEM-act. 12/17 F43, 52, 54, 57, 60–63). Trotz dieses Engagements wurde der Beschwerdeführer weder inhaftiert noch vor Gericht gestellt oder anderweitig zum Gegenstand eines Strafverfahrens gemacht (vgl. SEM- act. 12/17 F45 f.; 30/12 F23). Ein eigenständiges politisches Profil ist ihm nicht zuzuschreiben; seine Unterstützungstätigkeiten beschränkten sich auf untergeordnete Aufgaben wie die Stimmenzählung und die Teilnahme an Versammlungen. Nachdem er als Einzelperson ausserhalb des regio- nalen Kontextes für die türkischen Behörden nicht von Interesse gewesen sein dürfte, scheint ein solches Interesse auch für die Zukunft eher unwahr- scheinlich. Mit Ausnahme seines Bruders leben denn auch sämtliche Fa- milienangehörigen des Beschwerdeführers auch weiterhin im Heimatstaat. Vor diesem Hintergrund kann auch eine konkrete Gefährdung aufgrund ei- ner Reflexverfolgung ausgeschlossen werden. Zwar wurde der Bruder des Beschwerdeführers in der Schweiz als Flüchtling anerkannt und es wurde ihm Asyl gewährt. Indessen ist festzuhalten, dass der Beschwerdeführer – abgesehen von den behaupteten Belästigungen, vereinzelten Polizeibesu- chen und der behaupteten Entführung – keine konkreten Verfolgungshand- lungen geltend gemacht hat, die in einem nachvollziehbaren Zusammen- hang mit der politischen Aktivität seines Bruders stünden. Hinzu kommt, dass er mehrere Jahre nach dessen Ausreise aus der Türkei ausgereist ist. Die vorgebrachten Vorkommnisse beschränken sich auf vereinzelte, isolierte Einzelereignisse, deren Häufigkeit und Intensität nicht ausreichen, um auf eine systematische oder gezielte Verfolgung zu schliessen. Der als</w:t>
      </w:r>
    </w:p>
    <w:p>
      <w:r>
        <w:t>D-2056/2024 Seite 8 gewalttätig beschriebene Vorfall kurz vor der Ausreise stellt zwar das jüngste Ereignis dar, bildet jedoch das einzige konkretisierte Vorkommnis in einem Zeitraum von mehreren Jahren. Dass der Beschwerdeführer über einen längeren Zeitraum in seiner Heimatregion verbleiben und verschie- denen Tätigkeiten – zuletzt als Viehhirte – nachgehen konnte, ohne weite- ren staatlichen Repressionen ausgesetzt gewesen zu sein, spricht gegen das Vorliegen einer individuellen Gefährdungslage (vgl. Urteil des BVGer D-3140/2023 vom 28. September 2023 E. 6.1). Gleiches gilt für den Um- stand, dass sich sein Bruder bereits seit dem Jahr (…) in der Schweiz auf- hält, sich nicht mehr politisch in der Türkei engagiert, der Kontakt zu ihm zwischen (…) und (…) praktisch vollständig abbrach und der Beschwerde- führer sich dennoch weiterhin politisch betätigen konnte, ohne deswegen behördlich belangt worden zu sein. Es ist folglich nicht davon auszugehen, dass der Beschwerdeführer bei einer Rückkehr in die Türkei deswegen ernsthaften Nachteilen im Sinne einer asylbeachtlichen Reflexverfolgung ausgesetzt wäre. Daran vermögen auch die Medienberichterstattung über den angeblichen Tod seines Bruders oder die im Rahmen seiner Replik ins Recht gelegten Schreiben des Menschenrechtsvereins beziehungsweise eines türkischen Anwalts nichts zu ändern.</w:t>
      </w:r>
    </w:p>
    <w:p>
      <w:r>
        <w:rPr>
          <w:b/>
        </w:rPr>
        <w:t>E. 5.4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Das Eventualbegehren ist abzuweisen.</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grundsätzlich eben- falls zu Recht angeordnet (vgl. BVGE 2013/37 E. 4.4; 2009/50 E. 9, je m.w.H.).</w:t>
      </w:r>
    </w:p>
    <w:p>
      <w:r>
        <w:t>D-2056/2024 Seite 9</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(vgl. angefochtene Verfügung</w:t>
      </w:r>
    </w:p>
    <w:p>
      <w:r>
        <w:t>D-2056/2024 Seite 10 S. 7 f.). Der Beschwerdeführer hat das Gymnasium abgeschlossen, ver- fügt über Arbeitserfahrung in der Gastronomie sowie über ein familiäres Beziehungsnetz und zahlreiche Freunde in der Türkei, bei welchen er wäh- rend seines dortigen Aufenthalts hat leben können. Zudem besitzt seine Familie landwirtschaftliche Grundstücke, betreibt eigene Landwirtschaft und Viehzucht, und ihre finanzielle Lage ist als gut bis ausreichend zu be- zeichnen (vgl. SEM-act. 12/17 F29, 31). Es ist deshalb davon auszugehen, dass es ihm angesichts seiner Ausbildung, seines Alters und seiner Berufs- erfahrungen möglich sein wird, einer Erwerbstätigkeit nachgehen zu kön- nen und er damit bei einer Rückkehr in die Türkei in keine existenzbedro- hende Notlage geraten dürfte.</w:t>
      </w:r>
    </w:p>
    <w:p>
      <w:r>
        <w:rPr>
          <w:b/>
        </w:rPr>
        <w:t>E. 7.3.3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Unzumutbarkeit liegt jedenfalls dann noch nicht vor, wenn im Hei- mat- oder Herkunftsstaat eine nicht dem schweizerischen Standard ent- sprechende medizinische Behandlung möglich ist (vgl. etwa BVGE 2011/50 E. 8.3 und 2009/2 E. 9.3.1, je m.w.H.). Der aktuelle Gesundheitszustand des an (…) (mit dem Risiko eines […]) leidenden Beschwerdeführers erlaubt weiterhin eine ambulante Behand- lung; Hinweise auf eine hospitalisationsbedürftige oder notfallrelevante Si- tuation bestehen nicht. Die notwendige Behandlung kann nach dem aktu- ellen Stand sowohl in der Türkei fachgerecht erfolgen als auch für den Be- schwerdeführer tatsächlich zugänglich gemacht werden. Zudem hat der Beschwerdeführer bereits in der Vergangenheit medizinische Leistungen in der Türkei in Anspruch genommen (vgl. SEM-act. 12/17 F40, 104; 15/2 S. 1 und 30/12 F5), weshalb ihm das dortige Gesundheitssystem bekannt und er in der Lage ist, dieses auch künftig zu nutzen. Unter diesen Um- ständen ist der Vollzug der Wegweisung trotz der diagnostizierten Erkran- kung als zumutbar zu erachten.</w:t>
      </w:r>
    </w:p>
    <w:p>
      <w:r>
        <w:rPr>
          <w:b/>
        </w:rPr>
        <w:t>E. 7.3.4</w:t>
      </w:r>
    </w:p>
    <w:p>
      <w:r>
        <w:t>Der Vollzug der Wegweisung erweist sich nach dem Gesagten so- wohl in genereller als auch individueller Hinsicht als zumutbar.</w:t>
      </w:r>
    </w:p>
    <w:p>
      <w:r>
        <w:rPr>
          <w:b/>
        </w:rPr>
        <w:t>E. 7.4</w:t>
      </w:r>
    </w:p>
    <w:p>
      <w:r>
        <w:t>Nach Art. 83 Abs. 2 AIG ist der Vollzug auch als möglich zu bezeichnen, zumal es dem über einen gültigen türkischen Identitätsausweis verfügen- den Beschwerdeführer obliegt, sich bei der zuständigen Vertretung seines</w:t>
      </w:r>
    </w:p>
    <w:p>
      <w:r>
        <w:t>D-2056/2024 Seite 11 Heimatstaats die für eine Rückkehr notwendigen Reisedokumente zu be- 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Bei diesem Ausgang des Verfahrens wären die Kosten dem Beschwerdeführer aufzuerlegen (Art. 63 Abs. 1 VwVG). Da ihm jedoch mit Zwischenverfügung vom 28. Juni 2024 die unentgeltliche Rechtspflege im Sinne von Art. 65 Abs. 1 VwVG gewährt wurde und den Akten keine Hinweise auf eine Veränderung der finanziellen Verhältnisse zu entnehmen sind, ist von einer Kostenauflage abzusehen.</w:t>
      </w:r>
    </w:p>
    <w:p>
      <w:r>
        <w:rPr>
          <w:b/>
        </w:rPr>
        <w:t>E. 9.1</w:t>
      </w:r>
    </w:p>
    <w:p>
      <w:r>
        <w:t>Bei diesem Ausgang des Verfahrens wären die Kosten dem Beschwer- deführer aufzuerlegen (Art. 63 Abs. 1 VwVG). Da ihm jedoch mit Zwischen- verfügung vom 28. Juni 2024 die unentgeltliche Rechtspflege im Sinne von Art. 65 Abs. 1 VwVG gewährt wurde und den Akten keine Hinweise auf eine Veränderung der finanziellen Verhältnisse zu entnehmen sind, ist von einer Kostenauflage abzusehen.</w:t>
      </w:r>
    </w:p>
    <w:p>
      <w:r>
        <w:rPr>
          <w:b/>
        </w:rPr>
        <w:t>E. 9.2</w:t>
      </w:r>
    </w:p>
    <w:p>
      <w:r>
        <w:t>Mit derselben Zwischenverfügung wurde der Rechtsvertreter des Be- schwerdeführers als amtlicher Rechtsbeistand beigeordnet, weshalb die- sem ein entsprechendes Honorar auszurichten ist. Der Rechtsvertreter hat keine Kostennote eingereicht. Auf entsprechende Nachforderung kann ver- zichtet werden, da sich die Vertretungskosten aufgrund der Akten abschät- zen lassen (Art. 14 Abs. 2 des Reglements vom 21. Februar 2008 über die Kosten und Entschädigungen vor dem Bundesverwaltungsgericht [VGKE, SR 173.320.2]). Bei amtlicher Vertretung geht das Gericht in der Regel von einem Stundenansatz von Fr. 200.‒ bis Fr. 220.‒ für Anwältinnen und An- wälte aus. Unter Berücksichtigung der massgebenden Berechnungsfakto- ren (Art. 8, 9 und 11 VGKE) ist das amtliche Honorar auf Fr. 880.– festzu- setzen und dem rubrizierten Rechtsvertreter zu Lasten der Gerichtskasse auszurichten.</w:t>
      </w:r>
    </w:p>
    <w:p>
      <w:r>
        <w:t>(Dispositiv nächste Seite)</w:t>
      </w:r>
    </w:p>
    <w:p>
      <w:r>
        <w:t>D-2056/2024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