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D-2054/2010 vom 10. Mai 2010</w:t>
      </w:r>
    </w:p>
    <w:p>
      <w:r>
        <w:t>Bundesverwaltungsgericht, 2010-05-10, DE</w:t>
      </w:r>
    </w:p>
    <w:p>
      <w:r>
        <w:rPr>
          <w:b/>
        </w:rPr>
        <w:t xml:space="preserve">Quelle: </w:t>
      </w:r>
      <w:r>
        <w:t>https://mcp.opencaselaw.ch/entscheid/bvger_D-2054_2010</w:t>
      </w:r>
    </w:p>
    <w:p>
      <w:r>
        <w:t>FR: TAF D-2054/2010 du 10 mai 2010</w:t>
      </w:r>
    </w:p>
    <w:p>
      <w:r>
        <w:t>IT: TAF D-2054/2010 del 10 maggio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Die Beschwerde wurde nicht unterzeichnet (Art. 52 Abs. 1 VwVG). Aus prozessökonomischen Gründen und unpräjudiziell wird indes auf eine Rückweisung der in deutscher Sprache gehaltenen Rechtsmitteleingabe zur Nachreichung einer Unterschrift verzichtet, zumal die (sinngemäss) gestellten Rechtsbegehren verständlich sowie begründet sind.</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 abgesehen vom unter E. 1.2 festgestellten Mangel -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2004 Nr. 20, welche dort akzentuierte Praxis angesichts bloss redaktioneller Änderungen bei der letzten Totalrevision des Asylgesetzes nach wie vor Gültigkeit hat).</w:t>
      </w:r>
    </w:p>
    <w:p>
      <w:r>
        <w:rPr>
          <w:b/>
        </w:rPr>
        <w:t>E. 5.1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EMARK 2006 Nr. 18 E. 7 und 8 S. 190 ff., 2005 Nr. 21 E. 7 S. 193). Aufgrund der Subsidiarität des flüchtlingsrechtlichen Schutzes setzt die Zuerkennung der Flüchtlingseigenschaft im Weiteren voraus, dass die betroffene Person in ihrem Heimatland keinen ausreichenden Schutz finden kann (vgl. EMARK 2005 Nr. 21 E. 7 S. 193).</w:t>
      </w:r>
    </w:p>
    <w:p>
      <w:r>
        <w:rPr>
          <w:b/>
        </w:rPr>
        <w:t>E. 6.1</w:t>
      </w:r>
    </w:p>
    <w:p>
      <w:r>
        <w:t>Das BFM führte zur Begründung seiner Verfügung im Wesentlichen Folgendes aus: Der Beschwerdeführer sei - obwohl auch er während der letzten Jahre von zahlreichen Gewaltereignissen betroffen gewesen sei - bei einer objektivierten Betrachtungsweise nicht akut gefährdet. Namentlich habe er seit (...) weder mit den Behörden noch mit Drittpersonen irgendwelche Probleme gehabt. Demnach liege die letzte gegen ihn gerichtete Drohung über ein Jahr zurück, weshalb keine Hinweise auf eine akute Gefährdung seiner Person hindeuten würden. Auch fehle der erforderliche genügend enge zeitliche und sachliche Zusammenhang zwischen der beantragten Erteilung der Einreisebewilligung und der konkreten Verfolgung. Sodann sei davon auszugehen, dass der Beschwerdeführer von den Behörden längst festgenommen worden wäre, wenn tatsächlich ein Verfolgungsinteresse an seiner Person seitens des Staates bestehen würde. Zudem habe er sich im (...) problemlos per Bahn von (...) nach (...) zur Befragung durch die Schweizer Botschaft begeben können. Schliesslich müssten seine Vorbringen vor dem Hintergrund der allgemein angespannten Situation betrachtet werden, welche während des Bürgerkriegs geherrscht habe. Zum gegenwärtigen Zeitpunkt stelle sich die Situation in Sri Lanka indes anders dar: Der Krieg zwischen der srilankischen Regierung und den separatistischen LTTE sei im Mai 2009 mit der Niederlage der LTTE zu Ende gegangen. Damit befinde sich das gesamte Land erstmals seit dem Jahr 1983 wieder unter Regierungskontrolle. Obwohl der Staat vieles daran setze, ein Wiedererstarken der LTTE zu verhindern und aktiv nach ehemaligen Mitgliedern der oppositionellen Organisation suche, habe sich die Sicherheits- und Menschenrechtslage verbessert. Da der Beschwerdeführer eigenen Angaben zufolge nie Mitglied der LTTE gewesen sei, sei nicht davon auszugehen, dass die srilankischen Behörden ein Verfolgungsinteresse an seiner Person hätten. Daran vermöchten auch die zu den Akten gereichten Dokumente nichts zu ändern, welche lediglich die geltend gemachten Vorbringen stützten, deren Glaubhaftigkeit indes nicht in Frage gestellt würde.</w:t>
      </w:r>
    </w:p>
    <w:p>
      <w:r>
        <w:rPr>
          <w:b/>
        </w:rPr>
        <w:t>E. 6.2</w:t>
      </w:r>
    </w:p>
    <w:p>
      <w:r>
        <w:t>Die Beschwerde beschränkt sich auf eine zusammenfassende Wiederholung der bisherigen Vorbringen, wobei er nochmals bedroht worden sei und sich seit (...) an verschiedenen Orten im Distrikt (...) versteckt halte.</w:t>
      </w:r>
    </w:p>
    <w:p>
      <w:r>
        <w:rPr>
          <w:b/>
        </w:rPr>
        <w:t>E. 6.3</w:t>
      </w:r>
    </w:p>
    <w:p>
      <w:r>
        <w:t>Eine Überprüfung der Akten ergibt, dass sich die Erwägungen in der angefochtenen Verfügung als zutreffend erweisen. Mithin wurden die Schilderungen einzelner Vorbringen des Beschwerdeführers zu Recht als den Anforderungen an eine Verfolgung im Sinne von Art. 3 AsylG nicht genügend qualifiziert. Diesbezüglich wird auf E. 6.1 verwiesen. Zudem ist festzuhalten, dass der Beschwerdeführer seit seiner Rückkehr nach (...) keine konkreten Behelligungen seiner Person - auch nicht durch die LTTE - darlegte. Es ist nicht nachvollziehbar, dass die Armee ihn erst im (...) gesucht hätte, wenn sie ihn bereits vorher der LTTE-Mitgliedschaft verdächtigt hätte. Aus diesem Grund ist davon auszugehen, dass - sofern dieses Vorbringen überhaupt als glaubhaft zu erachten ist - die Polizei ihn im (...) in einem anderen Zusammenhang, beispielsweise wegen des (...) verschwundenen Freundes, suchte. Mithin bestehen keine Hinweise, dass er vor (...) im Visier des Staates stand, weshalb nicht davon auszugehen ist, dass er nach (...) von dieser Seite etwas zu befürchten gehabt hätte, auch wenn er sich nicht versteckt hätte. Die am (...) ausgesprochenen Todesdrohungen erscheinen in diesem Zusammenhang als nicht glaubhaft. Nach dem Gesagten ist das Verfolgungsinteresse des Staates (Armee, Criminal Investigation Department [CID]) am Beschwerdeführer in Übereinstimmung mit der Vorinstanz zu verneinen. Auch die Ausführungen in der Beschwerde sind nicht geeignet, an dieser Einschätzung etwas zu ändern, zumal sie sich wie gesagt auf eine zusammenfassende Wiederholung der bisherigen Vorbringen beschränken. Was die zusammen mit der Beschwerde eingereichten Unterlagen anbelangt, wurden diese - mit Ausnahme (...) und (...) - bereits im erstinstanzlichen Verfahren zu den Akten gereicht. Nach dem Gesagten erübrigt es sich, darauf näher einzugehen. In der Beschwerde fehlen Ausführungen zum (...). Dieser betrifft (...). Sollte es sich dabei um (...) handeln, so vermöchte dieser daraus nichts zu seinen Gunsten abzuleiten, zumal der Beschwerdeführer anlässlich seiner Anhörung vom (...) zu Protokoll gab, (...) habe im erwähnten Jahr nach einer Landstreitigkeit (...). Schliesslich betreffen die eingereichten Zeitungsausschnitte, soweit aus den darauf handschriftlich vermerkten Datierungen ersichtlich, den Zeitraum (...). Da sie trotz des in der Rechtsmittelbelehrung der angefochtenen Verfügung enthaltenen Hinweises, wonach die Beschwerde in einer der Amtssprachen einzureichen ist, kommentarlos in einer Fremdsprache eingereicht wurden, kann sich das Bundesverwaltungsgericht zum Inhalt dieser Beweismittel nicht äussern. Immerhin ist in diesem Zusammenhang festzuhalten, dass insofern kein direkter Bezug zum Beschwerdeführer erkennbar ist, als dieser während der Anhörung vom 29. September 2009 für den genannten Zeitraum keine spezifischen Verfolgungsvorbringen erwähnte.</w:t>
      </w:r>
    </w:p>
    <w:p>
      <w:r>
        <w:rPr>
          <w:b/>
        </w:rPr>
        <w:t>E. 6.4</w:t>
      </w:r>
    </w:p>
    <w:p>
      <w:r>
        <w:t>Zusammenfassend ist deshalb festzustellen, dass es dem Beschwerdeführer nicht gelungen ist, eine Verfolgung im Sinne von Art. 3 AsylG darzulegen. Es erübrigt sich, auf weitere Vorbringen in der Beschwerde und deren Beilagen einzugehen, da sie am Ergebnis nichts ändern können. Das BFM hat demnach dem Beschwerdeführer zu Recht die Einreise in die Schweiz verweigert beziehungsweise dessen Asylgesuch abgelehnt.</w:t>
      </w:r>
    </w:p>
    <w:p>
      <w:r>
        <w:rPr>
          <w:b/>
        </w:rPr>
        <w:t>E. 6.5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2 und 3 Bst. a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