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D-204/2009 vom 10. März 2010</w:t>
      </w:r>
    </w:p>
    <w:p>
      <w:r>
        <w:t>Bundesverwaltungsgericht, 2010-03-10, DE</w:t>
      </w:r>
    </w:p>
    <w:p>
      <w:r>
        <w:rPr>
          <w:b/>
        </w:rPr>
        <w:t xml:space="preserve">Quelle: </w:t>
      </w:r>
      <w:r>
        <w:t>https://mcp.opencaselaw.ch/entscheid/bvger_D-204_2009</w:t>
      </w:r>
    </w:p>
    <w:p>
      <w:r>
        <w:t>FR: TAF D-204/2009 du 10 mars 2010</w:t>
      </w:r>
    </w:p>
    <w:p>
      <w:r>
        <w:t>IT: TAF D-204/2009 del 10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und ist daher zur Einreichung der Beschwerde legitimiert (Art. 108 Abs. 1 sowie 105 AsylG i.V.m. Art. 37 VGG und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19 Abs. 1 AsylG kann ein Asylgesuch bei einer schweizerischen Vertretung im Ausland gestellt werden. Die schweizerische Vertretung überweist das Gesuch mit einem Bericht dem Bundesamt, welches die Einreise in die Schweiz zur Abklärung des Sachverhaltes bewilligt, wenn der asylsuchenden Person nicht zugemutet werden kann, im Wohnsitz- oder Aufenthaltsstaat zu bleiben oder in ein anderes Land auszureisen (Art. 20 Abs. 1 und 2 AsylG).</w:t>
      </w:r>
    </w:p>
    <w:p>
      <w:r>
        <w:rPr>
          <w:b/>
        </w:rPr>
        <w:t>E. 4.2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4.3</w:t>
      </w:r>
    </w:p>
    <w:p>
      <w:r>
        <w:t>Bei diesem Entscheid gelten restriktive Voraussetzungen für die Erteilung einer Einreisebewilligung,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Das BFM begründete die Verweigerung der Einreisebewilligung sowie die Ablehnung des Asylgesuchs der Beschwerdeführerin im Wesentlichen damit, dass sie in der Türkei weder angeklagt noch gerichtlich verurteilt worden sei. Da Frankreich im Dezember 2007 das Asylgesuch der Beschwerdeführerin, welches sie dort eingereicht habe, abgewiesen habe, sei zudem rechtsstaatlich festgestellt worden, dass sie die Flüchtlingseigenschaft nicht erfülle und nicht schutzbedürftig sei. Im Übrigen seien ihre Aussagen bezüglich der angeblichen Verfol-gungshandlungen beziehungsweise Schikanen der türkischen Behör-den nicht nachvollziehbar und realitätsfremd. Es sei nicht glaubhaft, dass die Beschwerdeführerin einem Ausreiseverbot aus der Türkei un-terliege, welches überdies im Internet veröffentlicht worden sein soll respektive, dass die türkische Behörde versuche, sie zu einer Rückkehr zu ihrem Ehemann zu bewegen. Im Weiteren habe die Beschwer-deführerin nicht dargelegt, wie sie die Türkei in Bezug auf die Drohun-gen ihres ehemaligen Ehemannes um Schutz ersucht habe. Die Be-hörden des Heimatstaates der Beschwerdeführerin seien jedoch grundsätzlich schutzwillig und -fähig, weshalb es ihr zumutbar gewe-sen wäre, sich an jene zu wenden. Weiter führte die Vorinstanz aus, den Akten seien Anhaltspunkte zu entnehmen, welche auf psychische Probleme der Beschwerdeführerin hindeuten würden. Die Türkei verfüge jedoch über entsprechende psy-chologische und psychiatrische Therapiemöglichkeiten, welche die Be-schwerdeführerin in Anspruch nehmen könne. Ausserdem begründe eine schwierige psychosoziale Lebenssituation keine Schutzbedürftig-keit im Sinne des Asylgesetzes. Ferner sei die Beschwerdeführerin in ihrem Heimatland nicht alleine auf sich gestellt, zumal sich ihre Schwester sowie andere Verwandte dort aufhielten. Ihre Angehörigen könnten sie zudem finanziell unterstützen und ihr das Ferienhaus in X._______ als Unterkunft zur Verfügung stellen. Da die Eltern und mehrere Geschwister nach wie vor in Deutschland lebten, wo die Be-schwerdeführerin auch aufgewachsen sei und bis zum Ende ihrer Be-rufsausbildung gelebt habe, bestehe schliesslich eine engere Bezie-hung zu Deutschland als zur Schweiz, wo lediglich zwei Brüder lebten. Es wäre somit naheliegender, wenn die Beschwerdeführerin sich um ein Einreisevisum für Deutschland bemühen würde.</w:t>
      </w:r>
    </w:p>
    <w:p>
      <w:r>
        <w:rPr>
          <w:b/>
        </w:rPr>
        <w:t>E. 5.2</w:t>
      </w:r>
    </w:p>
    <w:p>
      <w:r>
        <w:t>Die Beschwerdeführerin hielt in ihrer Beschwerde im Wesentlichen fest, dass sie in ihrem Heimatland überall gefoltert und bedroht werde. Um sie zum Schweigen zu bringen, habe man sie zuerst in die "Psy-chiatrie sperren" wollen und nun drohe man ihr mit einer Gefängnis-strafe. Sie sei von ihrem ehemaligen Ehemann geschlagen worden, weshalb sie sich bei der Polizei in Y._______ "beschwert" habe. Als Frau bekomme sie jedoch keinen Schutz in der Türkei.</w:t>
      </w:r>
    </w:p>
    <w:p>
      <w:r>
        <w:rPr>
          <w:b/>
        </w:rPr>
        <w:t>E. 6.1</w:t>
      </w:r>
    </w:p>
    <w:p>
      <w:r>
        <w:t>Nach Überprüfung der Akten besteht für das Bundesverwaltungsgericht keine Veranlassung, die entsprechenden Erwägungen des BFM in der angefochtenen Verfügung zu beanstanden. Zur Vermei-dung von Wiederholungen kann zum einen auf die diesbezüglich zu-treffenden Ausführungen verwiesen werden. Im Sinne einer Bekräfti-gung sind zum anderen folgende Ergänzungen zu machen.</w:t>
      </w:r>
    </w:p>
    <w:p>
      <w:r>
        <w:rPr>
          <w:b/>
        </w:rPr>
        <w:t>E. 6.2</w:t>
      </w:r>
    </w:p>
    <w:p>
      <w:r>
        <w:t>In Bezug auf die der Beschwerdeführerin von ihrem Ex-Ehemann in der Vergangenheit angeblich zugefügten Nachteile sowie die gegen-wärtigen Drohungen und Einschüchterungen ist festzuhalten, dass die Türkei in den letzten Jahren kontinuierlich Schritte zur Verbesserung der rechtlichen und gesellschaftlichen Situation der Frauen im Allge-meinen sowie im Besonderen zu deren Schutz vor Übergriffen mit sozio-kulturellem Hintergrund bis hin zum Ehrenmord unternommen hat. Bei den türkischen Behörden hat in den vergangenen Jahren ein Umdenken in Bezug auf frauenspezifische Schutzanliegen begonnen und erste entsprechende Einrichtungen wurden implementiert ; dane-ben bieten verschiedene nichtstaatliche Stellen betroffenen Frauen Unterstützung. Auch wenn die Umsetzung der staatlichen Programme nur langsam vorankommt und das Phänomen innerfamiliärer Gewalt bis hin zu Ehrenmorden nach wie vor virulent ist, ist davon auszuge-hen, dass sich die Beschwerdeführerin in der Türkei nicht in einer aus-weglosen Situation befindet, mithin auf unter dem Sicherheitsaspekt valable innerstaatliche Angebote zurückgreifen könnte (vgl. dazu das Urteil des Bundesverwaltungsgerichts D-6838/2008 vom 4. März 2009). Nach dem Gesagten ist nicht davon auszugehen, dass die Beschwer-deführerin keine adäquate Unterstützung erhalten würde. Im Übrigen nahm die Polizei in Y._______ die Anzeige der Beschwerdeführerin entgegen (vgl. Kopie des Protokolls der Befragung der Beschwerde-führerin auf dem Polizeirevier in Y._______ vom 14. November 2008). Zusammenfassend ist deshalb festzustellen, dass es der Beschwer-deführerin nicht gelungen ist, eine Verfolgung im Sinne von Art. 3 AsylG nachzuweisen oder glaubhaft zu machen. Es erübrigt sich, auf weitere Vorbringen in der Beschwerde, welche sich zudem auf Wiederholungen beschränken, einzugehen, da sie am Ergebnis nichts ändern können.</w:t>
      </w:r>
    </w:p>
    <w:p>
      <w:r>
        <w:rPr>
          <w:b/>
        </w:rPr>
        <w:t>E. 7</w:t>
      </w:r>
    </w:p>
    <w:p>
      <w:r>
        <w:t>Soweit die Beschwerdeführerin darauf hinweist, dass sie über keine Wohnmöglichkeit in der Türkei verfüge, spricht sie einen Sachverhalt an, welcher im Rahmen eines ordentlichen Asylverfahrens in der Schweiz grundsätzlich nur unter dem Gesichtspunkt der Zumutbarkeit des Wegweisungsvollzugs zu prüfen wäre (vgl. EMARK 2003 Nr. 24 E. 5e S. 159). Die schweizerische Gesetzgebung sieht indessen gera-de nicht vor, dass Asylsuchenden, die ihr Gesuch im Ausland stellen, unabhängig von einer Gefährdung im Sinne von Art. 3 AsylG - und da-mit der Aussicht auf Asylgewährung in der Schweiz - die Einreise schon deshalb zu bewilligen ist, weil sie im Heimat- oder Herkunfts-staat wegen Krieg, Bürgerkrieg, allgemeiner Gewalt oder einer medizinischen oder wirtschaftlichen Notlage konkret gefährdet sind. Ganz abgesehen hiervon deuten die Ausführungen der Beschwerdeführerin zu ihrer Wohnsituation letztlich darauf hin, dass sie im jetzigen Zeitpunkt zumindest bei ihrer Schwester über eine Wohnmöglichkeit ver-fügt und damit keiner eigentlichen Notlage ausgesetzt ist. Im Weiteren sind in der Türkei landesweit, insbesondere aber in Istanbul, sowohl psychiatrische Einrichtungen, ausgebildetes Fachpersonal und Psy-chopharmaka vorhanden, so dass die Beschwerdeführerin allfällige psychische Probleme angemessen behandeln lassen könnte.</w:t>
      </w:r>
    </w:p>
    <w:p>
      <w:r>
        <w:rPr>
          <w:b/>
        </w:rPr>
        <w:t>E. 8</w:t>
      </w:r>
    </w:p>
    <w:p>
      <w:r>
        <w:t>Aus diesen Erwägungen ergibt sich, dass die angefochtene Verfügung Bundesrecht nicht verletzt, den rechtserheblichen Sachverhalt richtig und vollständig feststellt und angemessen ist (Art. 106 AsylG). Das BFM hat demnach der Beschwerdeführerin zu Recht die Einreise in die Schweiz verweigert beziehungsweise deren Asylgesuch abgelehnt. Die Beschwerde ist nach dem Gesagten abzuweisen.</w:t>
      </w:r>
    </w:p>
    <w:p>
      <w:r>
        <w:rPr>
          <w:b/>
        </w:rPr>
        <w:t>E. 9</w:t>
      </w:r>
    </w:p>
    <w:p>
      <w:r>
        <w:t>Bei diesem Ausgang des Verfahrens wären dessen Kosten grundsätzlich der Beschwerdeführerin aufzuerlegen (Art. 63 Abs. 1 VwVG). Aus verwaltungsökonomischen Gründen und in Anwendung von Art. 63 Abs. 1 in fine VwVG und Art. 6 Abs. 1 Bst. b des Reglements vom 21. Februar 2008 über die Kosten und Entschädigungen vor dem Bun-desverwaltungsgericht (VGKE, SR 173.320.2) ist allerdings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