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D-2049/2013 vom 2. Oktober 2013</w:t>
      </w:r>
    </w:p>
    <w:p>
      <w:r>
        <w:t>Bundesverwaltungsgericht, 2013-10-02, DE</w:t>
      </w:r>
    </w:p>
    <w:p>
      <w:r>
        <w:rPr>
          <w:b/>
        </w:rPr>
        <w:t xml:space="preserve">Quelle: </w:t>
      </w:r>
      <w:r>
        <w:t>https://mcp.opencaselaw.ch/entscheid/bvger_D-2049_2013</w:t>
      </w:r>
    </w:p>
    <w:p>
      <w:r>
        <w:t>FR: TAF D-2049/2013 du 2 octobre 2013</w:t>
      </w:r>
    </w:p>
    <w:p>
      <w:r>
        <w:t>IT: TAF D-2049/2013 del 2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durch das Gericht ist in Übereinstimmung mit der Vorinstanz festzustellen, dass die Asylvorbringen der Beschwerdeführenden den Anforderungen an die Flüchtlingseigenschaft gemäss Art. 3 AsylG nicht standzuhalten vermögen, weshalb diesbezüglich vorab auf die zutreffenden vorinstanzlichen Erwägungen zu verweisen ist (vgl. Bst. F. vorstehend). Die Beschwerdevorbringen sind nicht geeignet, zu einer von der Vorinstanz abweichenden Betrachtungsweise zu führen, zumal die Beschwerdeführenden den vorinstanzlichen Erwägungen nichts Substanzielles entgegenhalten und im Wesentlichen lediglich am Wahrheitsgehalt der im vorinstanzlichen Verfahren geltend gemachten Vorbringen festhalten. Um Wiederholungen zu vermeiden, kann auf die zutreffenden Erwägungen in der angefochtenen Verfügung des BFM verwiesen werden.</w:t>
      </w:r>
    </w:p>
    <w:p>
      <w:r>
        <w:rPr>
          <w:b/>
        </w:rPr>
        <w:t>E. 4.2</w:t>
      </w:r>
    </w:p>
    <w:p>
      <w:r>
        <w:t>Angesichte der aufgezeigten Sachlage erübrigt es sich, auf die weiteren Ausführungen in der Beschwerde einzugehen, da diese nicht geeignet sind, zu einer anderen rechtlichen Würdigung der Aktenlage zu führen. Es ist somit festzustellen, dass die Beschwerdeführenden einen flüchtlingsrechtlich bedeutsamen Sachverhalt weder nachgewiesen noch glaubhaft gemacht haben. Die Feststellung des BFM, die Beschwerdeführenden erfüllten die Flüchtlingseigenschaft nicht, ist dementsprechend zu bestätigen. Es besteht kein Anlass, die Sache an die Vorinstanz zurückzuweisen. Das Bundesamt lehnte die Asylgesuche zu Recht ab.</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Das BFM führte in der angefochtenen Verfügung aus, die Wahrscheinlichkeit einer konkreten Gefährdung könne für Serben ausserhalb ihrer Enklaven in Kosovo nicht ausgeschlossen werden. Für die aus der Gemeinde D._______ [...] stammenden Beschwerdeführenden bestehe allenfalls eine konkrete Gefährdung aufgrund ihrer ethnischen Zugehörigkeit. Auch die Inanspruchnahme einer innerstaatlichen Aufenthaltsalternative im Norden Kosovos sei nach Prüfung der Akten nicht zumutbar. Die Beschwerdeführenden hätten indessen eine Aufenthaltsalternative in Serbien, wo sie gemäss Abklärungen des BFM in K._______ ein familiäres Beziehungsnetz hätten und wo sie geheiratet und nach dem Eheschluss immer wieder gelebt hätten.</w:t>
      </w:r>
    </w:p>
    <w:p>
      <w:r>
        <w:rPr>
          <w:b/>
        </w:rPr>
        <w:t>E. 6.3.3</w:t>
      </w:r>
    </w:p>
    <w:p>
      <w:r>
        <w:t>Eine Prüfung, ob der Vollzug der Wegweisung nach Kosovo zumutbar wäre, kann offenbleiben, da die Beschwerdeführenden eine zumutbare Aufenthaltsalternative in Serbien haben.</w:t>
      </w:r>
    </w:p>
    <w:p>
      <w:r>
        <w:rPr>
          <w:b/>
        </w:rPr>
        <w:t>E. 6.3.4</w:t>
      </w:r>
    </w:p>
    <w:p>
      <w:r>
        <w:t>Gemäss dem serbischen Gesetz über die Staatsbürgerschaft Nr. 135/04 vom 21. Dezember 2004 werden Personen als serbische Staatsbürger anerkannt, wenn sie serbischer Abstammung sind oder auf dem (ehemaligen) Staatsgebiet der Republik Serbien geboren wurden. Daran hat auch die Unabhängigkeitserklärung Kosovos vom 17. Februar 2008 nichts geändert, da dieses Land von Serbien nicht als unabhängiger Staat anerkannt, sondern vielmehr in der Verfassung als integraler Bestandteil Serbiens bezeichnet wird (vgl. BVGE 2010/41 E. 6.4.2). Infolgedessen ist mit der Vorinstanz davon auszugehen, dass die Beschwerdeführenden auch als Staatsangehörige von Serbien zu betrachten sind. Dies wird dadurch bestätigt, dass dem Beschwerdeführer am 1. Oktober 2007 ein jugoslawischer Pass ausgestellt wurde, in dem als Geburtsort "D._______ Republika Srbija" aufgeführt wird (vgl. A13/17 [Visumsunterlagen]). Die Prüfung der individuellen Situation der Beschwerdeführenden obliegt grundsätzlich den Behörden, die von Amtes wegen verpflichtet sind, den Sachverhalt hinsichtlich des Bestehens allfälliger Wegweisungsvollzugshindernisse abzuklären. Solche Abklärungen ergaben, dass die Beschwerdeführenden ihre Lebensumstände nicht wahrheitsgetreu dargelegt hatten (vgl. die vorstehenden Erwägungen). Bei dieser Sachlage kann es nicht Sache der Asylbehörden sein, nach allfälligen Wegweisungsvollzugshindernissen beziehungsweise allfälligen Risikofaktoren zu forschen, zumal die Untersuchungspflicht der Behörden nach Treu und Glauben ihre Grenzen an der Mitwirkungspflicht der asylsuchenden Person findet. Die Angaben der Beschwerdeführenden zu ihren Lebensumständen wurden durch die Abklärungen vor Ort durch die Schweizer Vertretung in Pristina widerlegt (vgl. D. vorstehend). Somit haben die Beschwerdeführenden trotz ihrer Bestreitungen die Folgen ihrer mangelhaften Mitwirkung zu tragen, indem vermutungsweise davon auszugehen ist, sie hätten bei einer Rückkehr nach Serbien keine individuell begründete, konkrete Gefährdung zu gewärtigen. Nach dem Gesagten erweist sich der Vollzug der Wegweisung auch als zumutbar.</w:t>
      </w:r>
    </w:p>
    <w:p>
      <w:r>
        <w:rPr>
          <w:b/>
        </w:rPr>
        <w:t>E. 6.4</w:t>
      </w:r>
    </w:p>
    <w:p>
      <w:r>
        <w:t>Schliesslich obliegt es den Beschwerdeführenden,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Bei diesem Ausgang des Verfahrens sind die Kosten den Beschwerde­füh­renden aufzuerlegen (Art. 63 Abs. 1 VwVG), auf insgesamt Fr. 600.- festzusetzen (Art. 1-3 des Reglements vom 21. Februar 2008 über die Kosten und Entschädigungen vor dem Bundesverwaltungsgericht [VGKE, SR 173.320.2]) und mit dem am 29. April 2013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