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D-2047/2014 vom 15. August 2016</w:t>
      </w:r>
    </w:p>
    <w:p>
      <w:r>
        <w:t>Bundesverwaltungsgericht, 2016-08-15, DE</w:t>
      </w:r>
    </w:p>
    <w:p>
      <w:r>
        <w:rPr>
          <w:b/>
        </w:rPr>
        <w:t xml:space="preserve">Quelle: </w:t>
      </w:r>
      <w:r>
        <w:t>https://mcp.opencaselaw.ch/entscheid/bvger_D-2047_2014</w:t>
      </w:r>
    </w:p>
    <w:p>
      <w:r>
        <w:t>FR: TAF D-2047/2014 du 15 août 2016</w:t>
      </w:r>
    </w:p>
    <w:p>
      <w:r>
        <w:t>IT: TAF D-2047/2014 del 15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2012/5 E. 2.2 S. 43 f., BVGE 2010/57 E. 2.3 S. 826 f.).</w:t>
      </w:r>
    </w:p>
    <w:p>
      <w:r>
        <w:rPr>
          <w:b/>
        </w:rPr>
        <w:t>E. 3.3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einer begründeten Furcht bleiben dabei grundsätzlich massgeblich (Art. 3 und 7 AsylG).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relativiert (vgl. Art. 3 Abs. 4 in fine AsylG)</w:t>
      </w:r>
    </w:p>
    <w:p>
      <w:r>
        <w:rPr>
          <w:b/>
        </w:rPr>
        <w:t>E. 4.1</w:t>
      </w:r>
    </w:p>
    <w:p>
      <w:r>
        <w:t>Die Vorinstanz zeigte unter Angabe der jeweiligen Fundstellen in den Protokollen der BzP und der Anhörung die diversen Unglaubhaftigkeits­elemente in den Aussagen des Beschwerdeführers auf. Sie bezeichnete die von ihm dargelegten fluchtauslösenden Vorkommnisse als unstimmig respektive widersprüchlich und damit unglaubhaft. Das Bundesverwaltungsgericht schliesst sich nach einer Überprüfung der Akten den diesbezüglichen vorinstanzlichen Erwägungen an.</w:t>
      </w:r>
    </w:p>
    <w:p>
      <w:r>
        <w:rPr>
          <w:b/>
        </w:rPr>
        <w:t>E. 4.2.1</w:t>
      </w:r>
    </w:p>
    <w:p>
      <w:r>
        <w:t>Die Ausführungen in der Rechtsmitteleingabe sind nicht geeignet, daran etwas zu ändern. Der in diesem Zusammenhang erhobene Einwand, das BFM sei dem Untersuchungsgrundsatz nicht ausreichend nachgekommen und habe diesen verletzt, ist nicht stichhaltig. Die Vorin­stanz setzte sich in ihrem Entscheid mit den einzelnen vom Beschwerdeführer vorgetragenen Sachverhaltselementen zwar knapp auseinander, führte aber die entsprechend gezogenen Feststellungen und Schlussfolgerungen in der angefochtenen Verfügung durchaus nachvollziehbar auf. Eine sachgerechte Anfechtung wurde dem Beschwerdeführer mit dieser Vorgehensweise nicht verunmöglicht. Zudem ergeben sich auch keine Hinweise auf eine unrichtige oder unvollständige Feststellung des Sachverhalts. Dieser bleibt grundsätzlich unverändert. Die hinsichtlich der vor­instanzlichen Würdigung bloss gegenteilig vertretene Sichtweise in der Rechtsmitteleingabe bedeutet nicht, dass das BFM den Untersuchungsgrundsatz verletzte.</w:t>
      </w:r>
    </w:p>
    <w:p>
      <w:r>
        <w:rPr>
          <w:b/>
        </w:rPr>
        <w:t>E. 4.2.2</w:t>
      </w:r>
    </w:p>
    <w:p>
      <w:r>
        <w:t>Die Unstimmigkeit der Anzahl Gerichtsverhandlungen auf die juristischen Unkenntnisse des Beschwerdeführers zurückzuführen, verfängt nicht. Anlässlich der BzP erwähnte der Beschwerdeführer insgesamt drei Gerichtsverhandlungen. So sei er am folgenden Tag, nachdem er die Nacht nach dem Unfall mit dem Taxi auf dem Polizeiposten verbracht gehabt habe, vor Gericht gestellt worden. Der Richter habe vor der Behandlung seines Dossiers vier wegen Diebstahls festgenommene Jugendliche freigesprochen. Mit ihm sei der Richter nicht so milde verfahren und habe ihn als Trinker zu einer Gefängnisstrafe verurteilt. Anlässlich der zweiten Verhandlung sei er zum Tod durch Hinrichtung verurteilt worden, da er sozusagen auf einer schwarzen Liste gewesen sei, die aus Leuten bestehe, die im Iran als Trinker, Fixer, Obdachlose respektive Randständige gelten würden. Nach drei Wochen im Gefängnis sei eine dritte Gerichtsverhandlung angesagt worden. Ein junger, milde gesinnter Richter habe das Urteil hinsichtlich der Hinrichtung aufgehoben und ihn stattdessen zu 84 Peitschenhieben verurteilt. Ebenfalls habe er versprechen müssen, nie mehr etwas Sittenwidriges zu tun, ansonsten ein derartiges Verhalten mit dem Tode bestraft würde. Nach ein paar Tagen sei er freigelassen worden. Zu Hause habe er erfahren, dass sein Vater eine Geldbusse habe bezahlen müssen. Auf explizite Nachfrage erklärte er, dass alle drei Gerichtsverhandlungen im Jahre 2007 stattgefunden hätten. Die Verständigung mit dem Dolmetscher bezeichnete der Beschwerdeführer bei der BzP als sehr gut respektive als gut. Auch sind dem Protokoll keine Anhaltspunkte zu entnehmen, der über eine ausgezeichnete Schulbildung und über mehrjährige Erfahrung im Erwerbsleben (Erwerbsausübung 1+2) verfügende Beschwerdeführer wäre nicht in der Lage gewesen, der Befragung zu folgen. Bei der Anhörung wurde er gemäss seinen Angaben nach der ersten Gerichtsverhandlung ins Gefängnis gebracht und bei der zweiten Verhandlung sei er nach 45 Tagen Gefängnisaufenthalt und einer Garantieerklärung für seine Freilassung durch die Familie zu 80 Peitschenhieben mit Hinrichtung verurteilt worden, wobei die Hinrichtung aufgeschoben worden sei. Sein Vater sei bei der Verhandlung zugegen gewesen. Die dargestellte Diskrepanz in den Schilderungen lässt sich nicht damit erklären, der Beschwerdeführer sei in seinem Erzählfluss gehindert worden, indem er darauf hingewiesen worden sei, sich zu raffen (vgl. A 20 Frage 28), zumal sich dieser Hinweis lediglich im Zusammenhang mit seinen Ausführungen zum geltend gemachten Gefängnisaufenthalt findet und der Beschwerdeführer zunächst in freier Rede seine Asylgründe vortragen konnte (vgl. A 20 Fragen 13 f., Fragen 23 ff.). Auch muss die auf Beschwerdestufe abgegebene Begründung, dass die Verurteilung des Beschwerdeführers zu einer Busse respektive die Abgabe einer Garantieerklärung durch die Familie dasselbe sein soll, weil er diesen Umstand nicht als persönliche Bestrafung empfunden habe, als nachträgliche Anpassung an den Sachverhalt gewertet werden. Dem Beschwerdeführer ist aber darin zuzustimmen, dass die unterschiedlichen Angaben zur Anzahl der erlittenen Peitschenhiebe marginal sind. Allein diese Divergenz ist nicht entscheidend für die Qualifizierung des entsprechenden Sachverhaltselements als unglaubhaft.</w:t>
      </w:r>
    </w:p>
    <w:p>
      <w:r>
        <w:rPr>
          <w:b/>
        </w:rPr>
        <w:t>E. 4.2.3</w:t>
      </w:r>
    </w:p>
    <w:p>
      <w:r>
        <w:t>Keine Klärung wird sodann hinsichtlich der weiteren Unglaubhaftigkeitselemente im Zusammenhang mit dem Unfallhergang sowie dem Kennenlernen der Freundin herbeigeführt. Den Erwägungen der Vorin­stanz in der angefochtenen Verfügung wird in der Rechtsmitteleingabe nicht Substanzielles entgegengesetzt, das geeignet wäre, namhafte respektive begründete Zweifel an den vorinstanzlichen Feststellungen zu nähren. Im Grunde genommen werden lediglich nochmals die vom Beschwerdeführer anlässlich der beiden Befragungen zu Protokoll gegebenen Antworten wiederholt und behauptet, es liege kein Widerspruch vor, da seine Vorbringen im Wesentlichen übereinstimmen würden. Hinsichtlich des geschilderten Unfallhergangs sei bloss vermerkt, dass bei der BzP im Gegensatz zur Anhörung nie die Rede davon war, dass angeblich zwei am Unfall beteiligte Fahrer sich über dessen Abklärung nicht hätten einigen können und dass der zweite Fahrer unbedingt die Polizei habe benachrichtigen wollen. Gleichermassen verhält es sich mit den Ausführungen im Zusammenhang mit dem Kennenlernen der Freundin. So muss bereits aufgrund der Formulierung der entsprechenden Begründung von einer als wenig überzeugend und spekulativ zu bezeichnenden Argumentation gesprochen werden. Die Darstellung des Beschwerdeführers, seine Freundin im Rahmen seiner (Erwerbsausübung 2) besser kennengelernt zu haben (BzP), schliesse seine bei der Anhörung zu Protokoll gegebene Aussage, wonach ihm seine Freundin ursprünglich über einen Kollegen vermittelt worden sei, keineswegs aus, erweist sich als nicht aufschlussreich. Insgesamt ergibt sich, dass die Ausführungen in der Beschwerde nicht geeignet sind, Klärung in die als unglaubhaft erachteten Sachverhaltsumstände hineinzubringen.</w:t>
      </w:r>
    </w:p>
    <w:p>
      <w:r>
        <w:rPr>
          <w:b/>
        </w:rPr>
        <w:t>E. 4.2.4</w:t>
      </w:r>
    </w:p>
    <w:p>
      <w:r>
        <w:t>Ergänzend ist zu berücksichtigen, dass der Beschwerdeführer seit seiner Ausreise aus dem Heimatland - trotz Zumutbarkeit und Möglichkeit der Beschaffung von allfälligen Unterlagen oder aufschlussreichen Auskünften und Hinweisen - nicht darum bemühte, weitere sachdienliche Anhaltspunkte zur behaupteten Gefährdungssituation ins Verfahren einfliessen zu lassen, obwohl er über Kontakt zu den Angehörigen im Iran verfügt (vgl. A 20 Frage 50) und mit der Frau, mit der er eine sexuelle Beziehung gehabt habe, vor einem Jahr gesprochen habe (vgl. A 20 Frage 51).</w:t>
      </w:r>
    </w:p>
    <w:p>
      <w:r>
        <w:rPr>
          <w:b/>
        </w:rPr>
        <w:t>E. 4.2.5</w:t>
      </w:r>
    </w:p>
    <w:p>
      <w:r>
        <w:t>Nach dem Gesagten gelangt das Bundesverwaltungsgericht zum Schluss, dass die Vorbringen des Beschwerdeführers für den Zeitpunkt vor seiner Ausreise aus dem Heimatland den Anforderungen an die Glaubhaftigkeit im Sinne von Art. 7 AsylG nicht standzuhalten vermögen, so dass deren Asylrelevanz im Sinne von Art. 3 AsylG nicht zu prüfen ist. Zusammenfassend ist festzustellen, dass der Beschwerdeführer keine Vorfluchtgründe glaubhaft darzutun vermochte, mithin im Zeitpunkt seiner Ausreise aus dem Heimatland die Flüchtlingseigenschaft nicht erfüllt hatte.</w:t>
      </w:r>
    </w:p>
    <w:p>
      <w:r>
        <w:rPr>
          <w:b/>
        </w:rPr>
        <w:t>E. 4.3.1</w:t>
      </w:r>
    </w:p>
    <w:p>
      <w:r>
        <w:t>In der Rechtsmitteleingabe wird ferner vorgebracht, der Beschwerdeführer sei seit seiner Ankunft in der Schweiz exilpolitisch tätig, was seine als Beweismittel beigelegten Facebook-Auszüge zu belegen vermöchten. Unter Verweis auf das Urteil des Europäischen Gerichtshof für Menschenrechte (EGMR) S.F. und andere gegen Schweden vom 15. Mai 2012, 52077/10, §§ 63 ff., wird unter anderem ausgeführt, der EGMR habe sich erneut umfassend mit der Situation exilpolitisch aktiver Personen befasst und festgestellt, dass die iranischen Behörden gegenwärtig nicht bloss Personen mit ausgeprägtem politischem Profil festnehmen oder misshandeln würden, sondern sämtliche Personen, die sich gegen das Regime wenden würden. Zudem würden die Behörden das Internet wirksam überwachen und so regimekritische Äusserungen in und ausserhalb des Irans aufspüren können, insbesondere mit der "Cyber Unit". Rückkehrende Iraner würden denn auch bei der Einreise vertieft überprüft. Für eine Verfolgung sei es demnach bereits ausreichend, an mehreren Demonstrationen fotografiert zu werden, sofern diese Bilder ins Internet gelangten. Mit Eingabe vom 22. März 2016 wurden weitere, angeblich vom Beschwerdeführer verfasste Facebook-Einträge nachgereicht und es wurde mitgeteilt, dieser habe am 10. Dezember 2015, 6. Februar 2016 und 5. März 2016 an von der DVF organisierten Kundgebungen teilgenommen.</w:t>
      </w:r>
    </w:p>
    <w:p>
      <w:r>
        <w:rPr>
          <w:b/>
        </w:rPr>
        <w:t>E. 4.3.2</w:t>
      </w:r>
    </w:p>
    <w:p>
      <w:r>
        <w:t>Es ist zwar bekannt, dass die iranischen Behörden die politischen Aktivitäten ihrer Staatsbürger im Ausland überwachen und erfassen (vgl. dazu Urteile des BVGer E-5292/2014 und E 5296/2014 vom 25. Februar 2016 E. 7.4 m.w.H.). Es bleibt jedoch im Einzelfall zu prüfen, ob die exilpolitischen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4.3.3</w:t>
      </w:r>
    </w:p>
    <w:p>
      <w:r>
        <w:t>Die gemäss oben skizzierter Rechtsprechung des Bundesverwaltungsgerichts geforderte Exponiertheit ist im Falle des Beschwerdeführers zu verneinen. Zunächst ist festzuhalten, dass ein politisches Engagement für die Zeit seines Aufenthalts im Iran gemäss Akten als äusserst marginal zu bezeichnen ist (nicht weiter substanziierte Teilnahme an Schweigemarsch im Jahre 1388 [2009/2010] und an Studentenprotesten). Allfällig daraus resultierende Schwierigkeiten stellte er gar ausdrücklich in Abrede (vgl. A 20 Frage 49). Die im Zusammenhang mit seinem Facebook-Auftritt geltend gemachten exilpolitischen Aktivitäten sind sodann auch nicht geeignet, eine merkliche Schärfung seines Profils zu bewirken, zumal sich aus den Kurzkommentaren und aus dem blossen Verlinken respektive Aufschalten von kritischen und teils satirischen Äusserungen, was aus den übersetzten Facebook-Auszügen hervorgeht, noch keine Exponierung ergibt. Auch das Auftreten des Beschwerdeführers an drei mit Fotos dokumentierten Demonstrationen beziehungsweise Veranstaltungen der DVF unterstreicht sein niederschwelliges Profil. Er unterscheidet sich in seinem öffentlichen Auftreten nicht von demjenigen der anderen Kundgebungsteilnehmer, indem er beispielsweise Transparente hält (zur Einschätzung der Aktivitäten der DVF siehe den als Referenzurteil aufgeschalteten Entscheid des BVGer D-830/2016 vom 20. Juli 2016 E. 4.3). Der Verweis auf das obgenannte Urteil des EGMR S.F. und andere gegen Schweden geht vorliegend fehl, weil darin für die Annahme eines "real risk" einer Misshandlung bei exilpolitischen Aktivitäten ebenfalls eine nicht unerhebliche Exponiertheit vorausgesetzt wird und somit keine vergleichbare Konstellation besteht.</w:t>
      </w:r>
    </w:p>
    <w:p>
      <w:r>
        <w:rPr>
          <w:b/>
        </w:rPr>
        <w:t>E. 4.3.4</w:t>
      </w:r>
    </w:p>
    <w:p>
      <w:r>
        <w:t>Gestützt auf die vorangehenden Erwägungen ist das Vorliegen subjektiver Nachfluchtgründe in casu zu verneinen. Das BFM hat somit zu Recht die Flüchtlingseigenschaft verneint und das Asylgesuch des Beschwerdeführers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 auch wenn bekanntermassen bei der Einreise in den Iran strikte Kontrollen durchgeführt werden -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im Heimatstaat des Beschwerdeführers noch individuelle Gründe lassen auf eine konkrete Gefährdung im Falle einer Rückkehr schliessen. Wie oben dargelegt erweisen sich die Vorbringen des Beschwerdeführers hinsichtlich der geltend gemachten Gefährdungs­situation zum Zeitpunkt der Ausreise aus dem Iran als unglaubhaft. Ausser dem als unglaubhaft erkannten Sachvortrag verneinte er Probleme mit den heimatlichen Behörden. Von einer möglichen Bedrohungs- oder Verfolgungssituation aufgrund subjektiver Nachfluchtgründe ist bei einer allfälligen Rückkehr ebenfalls nicht auszugehen. Ferner ergeben sich aus den Akten keine weiteren konkreten Anhaltspunkte, aufgrund derer allenfalls geschlossen werden könnte, der junge, ledige, - soweit aktenkundig - gesunde und über eine ausgezeichnete Schulbildung (Abschluss Sekundarschule, Abbruch Gymnasium nach einem Jahr) verfügende Be­schwerdeführer gerate im Falle der Rück­kehr in den Iran aus indi­viduellen Gründen wirtschaftlicher, sozialer oder ge­sundheitlicher Na­tur in eine existenzbedrohende Situation. Gemäss seinen Angaben führte er vor seiner Ausreise selbständig (Erwerbsausübung 1) während dreier Jahre und ging danach während mehrerer Jahre einer Erwerbstätigkeit als (Erwerbsausübung 2) nach. In Anbetracht des im Iran bestehenden umfangreichen familiären und verwandtschaftlichen Be­ziehungsnetzes ist ausserdem davon auszugehen, dass dem Beschwerdeführer die Reintegration leicht fallen dürfte. In Berücksichtigung sämtlicher für das vorliegende Verfahren relevanten Aspekte ist der Vollzug der Wegweisung somit als zumutbar zu erachten.</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auch sonst nicht zu beanstanden ist. Die Beschwerde ist abzuweisen.</w:t>
      </w:r>
    </w:p>
    <w:p>
      <w:r>
        <w:rPr>
          <w:b/>
        </w:rPr>
        <w:t>E. 8.1</w:t>
      </w:r>
    </w:p>
    <w:p>
      <w:r>
        <w:t>Mit Zwischenverfügung vom 12. Juni 2014 wurden die Gesuche um Gewährung der unentgeltlichen Rechtspflege im Sinne von Art. 65 Abs. 1 VwVG und der amtlichen Verbeiständung im Sinne von Art. 110a Abs. 1 AsylG gutgeheissen. Dem Beschwerdeführer wurde der ihm Rubrum genannte Rechtsanwalt als amtlicher Rechtsbeistand bestellt. Da der Beschwerdeführer gemäss den vorliegenden Akten aktuell nach wie vor nicht erwerbstätig ist, kann davon ausgegangen werden, dass er prozessual bedürftig ist. Auf die Erhebung von Verfahrenskosten ist demnach zu verzichten.</w:t>
      </w:r>
    </w:p>
    <w:p>
      <w:r>
        <w:rPr>
          <w:b/>
        </w:rPr>
        <w:t>E. 8.2</w:t>
      </w:r>
    </w:p>
    <w:p>
      <w:r>
        <w:t>Da dem Beschwerdeführer sein Rechtsvertreter als amtlicher Beistand bestellt wurde, ist diesem ein Honorar auszurichten. Der in der Kostennote vom 3. Oktober 2014 geltend gemachte Aufwand (9.1 Stunden) erscheint als angemessen. Angesichts der nachträglich eingereichten Eingabe vom 22. März 2016 - diese besteht im Wesentlichen aus einer Sammlung von Belegen, die der Beschwerdeführer selbst beschafft haben dürfte - ist die Entschädigung entsprechend zu erhöhen. Es ist deshalb von einem zeitlichen Aufwand von insgesamt zehn Stunden auszugehen. In Anbetracht der gegebenen Rechtsfragen erscheint die Höhe des geltend gemachten Stundenansatzes von Fr. 300. nicht angemessen. Unter Berücksichtigung der massgebenden Bemessungsfaktoren (Art. 9-13 VGKE), der Entschädigungspraxis in Vergleichsfällen und des Ansatzes für Fälle der amtlichen Rechtsverbeiständung ist der Parteientschädigung ein Stundenansatz von Fr. 220. zugrunde zu legen. Dem Rechtsvertreter ist somit vom Bundesverwaltungsgericht eine Entschädigung von Fr. 2412.- (inkl. Auslagen von Fr. 34.- und Mehrwertsteuer von Fr. 178.-) aus der Gerichtskasse zu entrichten (vgl. Art. 12 und Art. 14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