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D-202/2014 vom 12. August 2014</w:t>
      </w:r>
    </w:p>
    <w:p>
      <w:r>
        <w:t>Bundesverwaltungsgericht, 2014-08-12, DE</w:t>
      </w:r>
    </w:p>
    <w:p>
      <w:r>
        <w:rPr>
          <w:b/>
        </w:rPr>
        <w:t xml:space="preserve">Quelle: </w:t>
      </w:r>
      <w:r>
        <w:t>https://mcp.opencaselaw.ch/entscheid/bvger_D-202_2014</w:t>
      </w:r>
    </w:p>
    <w:p>
      <w:r>
        <w:t>FR: TAF D-202/2014 du 12 août 2014</w:t>
      </w:r>
    </w:p>
    <w:p>
      <w:r>
        <w:t>IT: TAF D-202/2014 del 12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Bundessrecht (einschliesslich Missbrauch und Überschreitung des Ermessens) sowie die unrichtige und unvollständige Feststellung des rechtserheblichen Sachverhaltes gerügt werden (Art. 106 Abs. 1 AsylG).</w:t>
      </w:r>
    </w:p>
    <w:p>
      <w:r>
        <w:rPr>
          <w:b/>
        </w:rPr>
        <w:t>E. 3</w:t>
      </w:r>
    </w:p>
    <w:p>
      <w:r>
        <w:t>Über offensichtlich unbegründete Beschwerden wird in einzelrichterlicher Zuständigkeit mit Zustimmung eines zweiten Richters entschieden (Art. 111 Bst. e AsylG), weshalb der Beschwerdeentscheid nur summarisch zu begründen ist (Art. 111a Abs. 2 AsylG). Gestützt auf Art. 111a Abs. 1 AsylG wurde auf die Durchführung eines Schriftenwechsels verzichtet.</w:t>
      </w:r>
    </w:p>
    <w:p>
      <w:r>
        <w:rPr>
          <w:b/>
        </w:rPr>
        <w:t>E. 4</w:t>
      </w:r>
    </w:p>
    <w:p>
      <w:r>
        <w:t>Wie in der am 25. Februar 2014 beim Bundesverwaltungsgericht eingegangenen Beschwerdeergänzung ausdrücklich festgehalten wurde, richtet sich die vorliegende Beschwerde ausschliesslich gegen den Vollzug der vorinstanzlich verfügten Wegweisung. Die Verfügung des BFM vom 16. Dezember 2013 ist, soweit sie die Frage der Flüchtlingseigenschaft und der Asylgewährung betrifft (Ziffn. 1 und 2 des Dispositivs der angefochtenen Verfügung), in Rechtskraft erwachsen, und auch die Anordnung der Wegweisung (Ziff. 3 des Dispositivs) ist nicht zu überprüfen (vgl. BVGE 2011/38; Entscheidungen und Mitteilungen der Schweizerischen Asylrekurskommission [EMARK] 2001 Nr. 21). Gegenstand des vorliegenden Verfahrens bildet lediglich die Frage, ob das Bundesamt den Vollzug der Wegweisung zu Recht als zulässig, zumutbar und möglich erklärt hat.</w:t>
      </w:r>
    </w:p>
    <w:p>
      <w:r>
        <w:rPr>
          <w:b/>
        </w:rPr>
        <w:t>E. 5</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beziehungweise Art. 1A FK erfüllen. Da rechtskräftig feststeht, dass es der Beschwerdeführerin nicht gelungen ist, eine asylrechtlich erhebliche Gefährdung nachzuweisen oder glaubhaft zu machen, kann das in Art. 5 verankerte Prinzip des flüchtlingsrechtlichen Rückschiebungsverbot im vorliegenden Verfahren keine Anwendung finden. Eine Rückkehr der Beschwerdeführerin nach Nigeria ist demnach unter dem Aspekt von Art. 5 AsylG rechtmässig.</w:t>
      </w:r>
    </w:p>
    <w:p>
      <w:r>
        <w:rPr>
          <w:b/>
        </w:rPr>
        <w:t>E. 5.1.2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nach Nigeria dort mit beachtlicher Wahrscheinlichkeit einer nach Art. 3 EMRK oder Art. 1 FoK verbotenen Strafe oder Behandlung ausgesetzt wäre. Gemäss Praxis des Europäischen Gerichtshofes für Menschenrechte (EGMR) sowie jener de UN-Anti-Folterausschusses müsste die Beschwerdeführerin eine konkrete Gefahr ("real risk") nachweisen oder glaubhaft machen, dass ihr im Fall einer Rückschiebung Folter oder unmenschliche Behandlung drohen würde (vgl. Urteil des EGMR [Grosse Kammer], Saadi gegen Italien, Urteil vom 28. Februar 2008, Beschwerde 37201/06, §§ 124-127 m.w.H.). Das ist vorliegend jedoch nicht der Fall. Weder die von der Beschwerdeführerin geltend gemachten sexuellen Übergriffe (welche im Übrigen gemäss den Angaben der Beschwerdeführerin nicht in ihrem Heimatstaat Nigeria, sondern Ende 2004 auf der Reise nach Europa in Algerien stattgefunden haben sollen) noch die "schwierige persönliche Situation" beziehungsweise der Umstand, dass sie in Nigeria ausgelacht werde, weil ihr Sohn H._______ "keinen Vater" habe, vermögen eine derartige Verfolgungssituation zu begründen. Auch die allgemeine Menschenrechtssituation in Nigeria lässt den Wegweisungsvollzug zum heutigen Zeitpunkt nicht als unzulässig erscheinen.</w:t>
      </w:r>
    </w:p>
    <w:p>
      <w:r>
        <w:rPr>
          <w:b/>
        </w:rPr>
        <w:t>E. 5.1.3</w:t>
      </w:r>
    </w:p>
    <w:p>
      <w:r>
        <w:t>Der Vollzug der Wegweisung ist damit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5.2.1</w:t>
      </w:r>
    </w:p>
    <w:p>
      <w:r>
        <w:t>Zwar werden aus verschiedenen Regionen Nigerias, insbesondere aus den nördlichen Bundesstaaten und dem Federal Capital Territory im Zentrum des Landes, immer wieder blutige Auseinandersetzungen bewaffneter Banden sowie Sprengstoffanschläge und Entführungen durch islamistische Terroristen gemeldet; auch in den Ölfördergebieten im Delta State kommt es zu Unruhen und Geiselnahmen. Hingegen kann bezüglich der Herkunftsregion der Beschwerdeführerin (...), in der offenbar ihre beiden Kinder sich nach wie vor aufhalten, sowie auch bezüglich der ebenfalls im Süden des Landes gelegenen Stadt I._______, wo die Beschwerdeführerin vor ihrer letztmaligen Ausreise im Jahr 2006 gewohnt haben will, im jetzigen Zeitpunkt nicht von Krieg, Bürgerkrieg oder von einer Situation allgemeiner Gewalt, welche für sie bei ihrer Rückkehr dorthin eine konkrete Gefahr darstellen würde, gesprochen werden.</w:t>
      </w:r>
    </w:p>
    <w:p>
      <w:r>
        <w:rPr>
          <w:b/>
        </w:rPr>
        <w:t>E. 5.2.2</w:t>
      </w:r>
    </w:p>
    <w:p>
      <w:r>
        <w:t>Sodann bestehen auch keine Hinweise, dass der Vollzug der Wegweisung der Beschwerdeführerin aus anderen, individuellen Gründen nicht zumutbar sein könnte. So ergeben sich aus den Akten keinerlei Hinweise auf allfällige gesundheitlichen Probleme der Beschwerdeführerin. Des Weiteren hat sie zwar gemäss ihren Angaben lediglich die Primarschule besucht, doch verfügt sie über vielfältige Berufserfahrung (als Verkäuferin auf dem Markt, in der Landwirtschaft und als Coiffeuse; zudem ist sie im Rahmen eines Beschäftigungsprogramms für Asylsuchende im Bereich Gastronomie tätig [vgl. Beilage zur Eingabe vom 13. Januar 2014]), und es ist davon auszugehen, dass sie bei ihrer Rückkehr nicht eine ihre Existenz bedrohende Situation geraten wird. Die Hinweise auf die sozio-ökonomische Situation in afrikanischen Ländern sowie auf den Umstand, dass die Beschwerdeführerin ihr Heimatland bereits vor vielen Jahren verlassen habe (vgl. Beschwerdeergänzung S. 2 f.), sind nicht geeignet, zu einer anderen Beurteilung des Sachverhaltes zu führen, zumal ihr auch die Möglichkeit offensteht, in der Schweiz finanzielle Rückkehrhilfe zu beantragen (vgl. BFM-Verfügung vom 16. Dezember 2013 S. 6).</w:t>
      </w:r>
    </w:p>
    <w:p>
      <w:r>
        <w:rPr>
          <w:b/>
        </w:rPr>
        <w:t>E. 5.2.3</w:t>
      </w:r>
    </w:p>
    <w:p>
      <w:r>
        <w:t>Nach dem Gesagten kann der Vollzug der Wegweisung sowohl in genereller als auch in individueller Hinsicht als zumutbar bezeichnet werden.</w:t>
      </w:r>
    </w:p>
    <w:p>
      <w:r>
        <w:rPr>
          <w:b/>
        </w:rPr>
        <w:t>E. 5.3</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einer Überprüfung gemäss Art. 106 Abs. 1 AsylG standhält. Die Beschwerde ist abzuweisen.</w:t>
      </w:r>
    </w:p>
    <w:p>
      <w:r>
        <w:rPr>
          <w:b/>
        </w:rPr>
        <w:t>E. 7</w:t>
      </w:r>
    </w:p>
    <w:p>
      <w:r>
        <w:t>Aus der Beschwerdeergänzung vom 23. Februar 2014 geht klar hervor, dass die Beschwerdeführerin lediglich um Gewährung der unentgeltlichen Prozessführung im Sinne von Art. 65 Abs. 1 VwVG ersucht. Da die Beschwerdebegehren - wie vorstehend aufgezeigt wurde - als aussichtslos zu bezeichnen sind und überdies die Bedürftigkeit der Beschwerdeführerin durch keine entsprechende Bestätigung belegt wird, ist das Gesuch um Gewährung der unentgeltlichen Prozessführung im Sinne von Art. 65 Abs. 1 VwVG abzuweisen. Bei diesem Ausgang des Verfahrens sind die Kosten von Fr. 600.- (Art. 1-3 VGKE des Reglements vom 21. Februar 2008 über die Kosten und Entschädigungen vor dem Bundesverwaltungsgericht [VGKE, SR 173.320.2]) der Beschwerdeführerin aufzuerlegen (Art. 63 Abs. 1 und 5 VwVG). Das in der Beschwerdeergänzung ebenfalls enthaltene Gesuch um Verzicht auf die Erhebung eines Kostenvorschusses (Art. 63 Abs. 4 VwVG) wird mit dem Entscheid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