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D-2025/2010 vom 17. November 2011</w:t>
      </w:r>
    </w:p>
    <w:p>
      <w:r>
        <w:t>Bundesverwaltungsgericht, 2011-11-17, DE</w:t>
      </w:r>
    </w:p>
    <w:p>
      <w:r>
        <w:rPr>
          <w:b/>
        </w:rPr>
        <w:t xml:space="preserve">Quelle: </w:t>
      </w:r>
      <w:r>
        <w:t>https://mcp.opencaselaw.ch/entscheid/bvger_D-2025_2010</w:t>
      </w:r>
    </w:p>
    <w:p>
      <w:r>
        <w:t>FR: TAF D-2025/2010 du 17 novembre 2011</w:t>
      </w:r>
    </w:p>
    <w:p>
      <w:r>
        <w:t>IT: TAF D-2025/2010 del 17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(Art. 7 Abs. 1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von der vormaligen Be­schwerdeinstanz begründete Rechtsprechung in Entscheidungen und Mit­teilungen der Schweizeri­schen Asylrekurskommission [EMARK] 2005 Nr. 21 E. 6.1 S. 190 f. mit wei­teren Hinweisen, welche vom Bundes­verwal­tungsgericht weitergeführt wird).</w:t>
      </w:r>
    </w:p>
    <w:p>
      <w:r>
        <w:rPr>
          <w:b/>
        </w:rPr>
        <w:t>E. 4.1</w:t>
      </w:r>
    </w:p>
    <w:p>
      <w:r>
        <w:t>Die Vorinstanz hat die Glaubhaftigkeit der Kernvorbringen des Be­schwerde­führers verneint. Diese Sichtweise vermag im Ergebnis zu über­zeugen.</w:t>
      </w:r>
    </w:p>
    <w:p>
      <w:r>
        <w:rPr>
          <w:b/>
        </w:rPr>
        <w:t>E. 4.2</w:t>
      </w:r>
    </w:p>
    <w:p>
      <w:r>
        <w:t>Vorab ist festzuhalten, dass das BFM unter Hinweis auf Seitenzahlen des Befragungs- und des Anhörungsprotokolls die aus seiner Sicht beste­hende Unglaubhaftigkeit des Vorgebrachten festhielt. Entgegen den Be­schwerdevorbringen ist es dadurch der Begründungspflicht hinreichend nachgekommen. Eine Durchsicht der Aussagen des Beschwerdeführers ergibt das Bild einer in wesentlichen Punkten konstruiert wirkenden Schilderung. Einzelne etwas substanziiertere Passagen vermögen entgegen der Argumentationsweise der Rechtsvertretung darüber nicht hinwegzutäuschen. Bereits die Tatsa­che, dass der Beschwerdeführer die angeblich kurz vor der Ausreise erlit­tene Haft in zeitlicher Hinsicht vage als 15 bis 20 Tage lang dauernd vor­brachte, vermag dem Anspruch auf eine hinreichend konkrete Erlebnisschil­derung nicht zu genügen (A 1/10 S. 5; A 7/12 Antwort 8). Auch seine Angaben zu Befragungen und den Haftumständen während der angeblich mehr als vierzehntätigen Inhaftierung wirken weitgehend ste­reotyp (A 7/12 Antworten 8 und 28 ff.). Dasselbe trifft auf seine Aus­sage zu, wie respektive weshalb seine Journalistenkollegen von seiner Haft er­fahren haben sollen (A 7/12 Antwort 46). Dass er bei der Anhörung ein Gebäude - den angeblichen Haftort - zeichnete, belegt entgegen den Beschwerdevorbringen noch in keiner Weise, dass er darin tatsächlich fest­gehalten wurde, zumal seine Schilderungen des Haftalltags überdies kaum Realkennzeichen aufweisen. Auch die geltend gemachte Einver­nahme durch den Richter vor der Haftentlassung lässt keine persönliche Be­troffenheit des Beschwerdeführers erkennen. Abgesehen davon nannte er den genauen Namen des Gerichts nicht (A 1/10 S. 6; A 7/12 Ant­wort 47). Seine weiteren Schilderungen zur angeblichen Suche trotz der vorgängigen Freilassung lassen wiederum jegliche Substanz vermis­sen und sind - so auch mangels stichhaltiger Beschwerdevorbringen für eine andere Sichtweise - im Sinne der vorinstanzlichen Erwägungen reali­tätsfremd ausgefallen. Dies umso mehr, als er am Schluss der Anhö­rung angab, gar nicht zu wissen, ob er in Sri Lanka überhaupt gesucht werde (A 7/12 Antworten 66 ff., 72 und 81).</w:t>
      </w:r>
    </w:p>
    <w:p>
      <w:r>
        <w:rPr>
          <w:b/>
        </w:rPr>
        <w:t>E. 4.3</w:t>
      </w:r>
    </w:p>
    <w:p>
      <w:r>
        <w:t>Die eingereichten Beweismittel rechtfertigen keine andere Einschät­zung. Der Haftbefehl vom _______ ist vom BFM als Totalfäl­schung qualifiziert worden, weil es sich um ein internes Dokument handle. Diese Sichtweise ist nicht von der Hand zu weisen, auch wenn es ei­nem Betroffenen unter Umständen gleichwohl gelingen könnte, durch ge­wisse Kanäle an ein solches Beweismittel zu gelangen. Das Dokument datiert indes vom _______ und wäre demnach zwei Tage vor der legal erfolgten Ausreise des Beschwerdeführers _______ ausgestellt worden. Auch in Anbetracht dieses Um­standes ist es mithin nicht hinreichend beweistauglich für die angebli­che behördliche Suche im Zeitpunkt der Ausreise. Die ferner zu den Ak­ten gereichte Haftbestätigung ist vom BFM zu Recht als ein in formaler Hin­sicht mangelhaftes Dokument bezeichnet worden; in Anbetracht der zahl­reichen Unglaubhaftigkeitselemente in den Vorbringen ist es jeden­falls nicht hinreichend beweistauglich für eine andere Einschätzung der Kernvorbringen. Dies auch deshalb, weil der Beschwerdeführer die vom BFM erwähnte gerichtliche Haftentlassungsbestätigung nicht eingereicht hat.</w:t>
      </w:r>
    </w:p>
    <w:p>
      <w:r>
        <w:rPr>
          <w:b/>
        </w:rPr>
        <w:t>E. 4.4.1</w:t>
      </w:r>
    </w:p>
    <w:p>
      <w:r>
        <w:t>Schliesslich ist auf Folgendes hinzuweisen: Das Bundesverwaltungs­gericht hat sich im zur Publikation vorgesehenen BVGE E-6220/2006 vom 27. Oktober 2011 eingehend mit der Situation in Sri Lanka befasst und seine Praxis aktualisiert. Es kam zum Schluss, dass sich die Situation vor Ort insgesamt verbessert habe, wobei es aber zahlrei­che Einschränkungen formulierte. Oppositionelle müssten nach wie vor mit Verfolgung rechnen. Es gebe verschiedene Risikogruppen. Dar­unter fielen Personen, welche auch nach Beendigung des Krie­ges ver­dächtigt würden, mit den LTTE in Verbindung zu stehen beziehungs­weise gestanden zu sein. Auch unabhängige Journalisten beziehungs­weise regierungskritische Medienschaffende hätten ein erhöhtes Risikopro­fil. Im Weiteren sei bei Opfern und Zeugen von Menschenrechts­verletzungen und Personen, die entsprechende Über­griffe behördlich angezeigt hätten, mit erhöhter Verfolgungsgefahr zu rech­nen. Ausserdem liefen abgewiesene tamilische Asylsuchende aus der Schweiz unter Umständen Gefahr, bei der Rückkehr behördlich be­langt zu werden, weil ihnen Kontakte zu führenden LTTE-Kadern in der Schweiz unterstellt würden. Wegen drohender Erpressung, Kidnapping und anderen Verfolgungshandlungen bildeten schliesslich Personen, welche über be­trächtliche finanzielle Mittel verfügten, eine weitere Risikogruppe (a.a.O. insb. E. 8.).</w:t>
      </w:r>
    </w:p>
    <w:p>
      <w:r>
        <w:rPr>
          <w:b/>
        </w:rPr>
        <w:t>E. 4.4.2</w:t>
      </w:r>
    </w:p>
    <w:p>
      <w:r>
        <w:t>Der Beschwerdeführer macht geltend, einer seiner Brüder sei Mit­glied der LTTE und behördlich festgenommen worden. Im Falle der Wahr­heit dieses Vorbringens wären demzufolge behördliche Überprüfungen in _______ seine Person betreffend nicht ausgeschlossen gewesen. Dass er im Sinne seiner Vorbringen unter den geltend gemachten Umständen für mehr als vierzehn Tage inhaftiert wurde, ist aber gemäss vorstehen­den Erwägungen nicht glaubhaft. Vielmehr ist - namentlich auch in Berück­sichtigung der erwähnten Ausreiseumstände - davon auszugehen, dass gegen ihn im Zweitpunkt der Ausreise nichts vorlag und er aufgrund seines Persönlichkeitsprofils auch keine begründete Furcht vor ernsthaf­ten Nachteilen im Falle der Rückkehr hat. Die Behauptung in der Be­schwerde, er habe seinen Reisepass lediglich verlängern lassen müssen, was ohne irgendwelche Abklärungen seitens der Behörden möglich gewe­sen sei, überzeugt in Anbetracht der generellen Sicherheitsbeden­ken der srilankischen Sicherheitskräfte nicht. Im Weiteren machte er nicht geltend, Bezüge zur LTTE gehabt oder sich politisch beziehungsweise jour­nalistisch exponiert zu haben. Dem eingereichten Arbeitsvertrag kann eine solche Exponierung ebenfalls nicht entnommen werden. Vor diesem Hintergrund weist er kein Persönlichkeitsprofil, welches aktuell im Heimat­land mit beachtlicher Wahrscheinlichkeit zu einer relevanten Gefährdung füh­ren könnte, auf. Auch aufgrund seiner langen Landesabwesenheit re­spektive des Aufenthalts in der Schweiz ist in Anbetracht der Fallum­stände nicht auf eine entsprechende Gefährdung bei der Rückkehr zu schliessen.</w:t>
      </w:r>
    </w:p>
    <w:p>
      <w:r>
        <w:rPr>
          <w:b/>
        </w:rPr>
        <w:t>E. 4.5</w:t>
      </w:r>
    </w:p>
    <w:p>
      <w:r>
        <w:t>Unter Berücksichtigung der gesamten Umstände folgt, dass der Be­schwerdeführer keine Gründe nach Art. 3 AsylG nachweisen oder glaub­haft machen konnte. Die Vorinstanz hat die Flüchtlingseigen­schaft dem­nach zu Recht verneint und das Asylgesuch abgelehnt. An dieser Einschät­zung vermögen weder die weiteren Ausführungen in der Eingabe noch die beigelegten Beweismittel etwas zu ändern.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ge­mäss vorstehenden Erwägungen nicht gelungen. Auch die allgemeine Men­schenrechtssituation in Sri Lanka lässt den Wegweisungsvollzug zum heutigen Zeitpunkt nicht als generell unzulässig erscheinen. Dies ergibt sich unter anderem aus dem bereits zitierten BVGE E-6220/2006 vom 27. Oktober 2011 (vgl. E. 10.4. am Ende).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6.4.1</w:t>
      </w:r>
    </w:p>
    <w:p>
      <w:r>
        <w:t>Im obenstehend erwähnten Urteil kommt das Bundesverwal­tungsgericht mit Einschränkungen zum Schluss, die Menschenrechts- und Sicherheitslage habe sich seit dem Ende des bewaffneten Konflikts er­heblich verbessert. Die Lage präsentiere sich indes nicht in allen Lan­desteilen gleich. Ein Vollzug der Wegweisung in die Ostprovinz sei grund­sätzlich zumutbar. Auch der Vollzug in die Nordprovinz sei unter gewissen Voraussetzungen zumutbar. Eine Ausnahme bilde das Vanni-Gebiet. Ein Vollzug dorthin sei weiterhin unzumutbar. Für Personen, die aus dem übri­gen Staatsgebiet Sri Lankas (_______) stammten, sei der Vollzug grundsätzlich zumutbar (E. 12. und 13).</w:t>
      </w:r>
    </w:p>
    <w:p>
      <w:r>
        <w:rPr>
          <w:b/>
        </w:rPr>
        <w:t>E. 6.4.2</w:t>
      </w:r>
    </w:p>
    <w:p>
      <w:r>
        <w:t>Der Beschwerdeführer lebte seit Anfang 2004 bis zum angegebenen Zeit­punkt der Ausreise und mithin während mehr als fünf Jahren in _______. Er verfügt über eine gute Schul- und Ausbildung. Als angehender Journa­list war er bei einem Medienunternehmen angestellt. Untergebracht war er in dessen Personalhaus. Bei der Anhörung erwähnte er Freunde vor Ort (A 1/10 S. 2 unten f.; A 7/12 Antworten 46 und 69). Entgegen den Be­schwerdevorbringen ist demnach nicht davon auszugehen, dass er nach der Rückkehr nach _______ in eine existenzgefährdende Situation geraten wird.</w:t>
      </w:r>
    </w:p>
    <w:p>
      <w:r>
        <w:rPr>
          <w:b/>
        </w:rPr>
        <w:t>E. 6.4.3</w:t>
      </w:r>
    </w:p>
    <w:p>
      <w:r>
        <w:t>Nach dem Gesagten erweist sich der Vollzug der Wegweisung auch als zu­mutbar.</w:t>
      </w:r>
    </w:p>
    <w:p>
      <w:r>
        <w:rPr>
          <w:b/>
        </w:rPr>
        <w:t>E. 6.5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6.6</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8.1</w:t>
      </w:r>
    </w:p>
    <w:p>
      <w:r>
        <w:t>Bei diesem Ausgang des Verfahrens wären die Kosten grund­sätzlich dem Beschwerdeführer aufzuerlegen (Art. 63 Abs. 1 VwVG). Da das Gesuch im Sinne von Art. 65 Abs. 1 VwVG mit Zwischenverfügung vom 1. April 2010 gutgeheissen wurde, ist von der Kostenauflage abzusehen.</w:t>
      </w:r>
    </w:p>
    <w:p>
      <w:r>
        <w:rPr>
          <w:b/>
        </w:rPr>
        <w:t>E. 8.2</w:t>
      </w:r>
    </w:p>
    <w:p>
      <w:r>
        <w:t>Die Entrichtung einer Parteientschädigung kommt bei dieser Sachlage nicht in Betracht.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