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D-2023/2022 vom 9. Juni 2022</w:t>
      </w:r>
    </w:p>
    <w:p>
      <w:r>
        <w:t>Bundesverwaltungsgericht, 2022-06-09, DE</w:t>
      </w:r>
    </w:p>
    <w:p>
      <w:r>
        <w:rPr>
          <w:b/>
        </w:rPr>
        <w:t xml:space="preserve">Quelle: </w:t>
      </w:r>
      <w:r>
        <w:t>https://mcp.opencaselaw.ch/entscheid/bvger_D-2023_2022</w:t>
      </w:r>
    </w:p>
    <w:p>
      <w:r>
        <w:t>FR: TAF D-2023/2022 du 9 juin 2022</w:t>
      </w:r>
    </w:p>
    <w:p>
      <w:r>
        <w:t>IT: TAF D-2023/2022 del 9 giugno 2022</w:t>
      </w:r>
    </w:p>
    <w:p>
      <w:pPr>
        <w:pStyle w:val="Heading2"/>
      </w:pPr>
      <w:r>
        <w:t>Regeste</w:t>
      </w:r>
    </w:p>
    <w:p>
      <w:r>
        <w:t>Rechtsverzögerung/Rechtsverweigerung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Rechtsverzögerungsbeschwerde wird gutgeheissen.</w:t>
      </w:r>
    </w:p>
    <w:p>
      <w:r>
        <w:rPr>
          <w:b/>
        </w:rPr>
        <w:t>E. 2</w:t>
      </w:r>
    </w:p>
    <w:p>
      <w:r>
        <w:t>Die Vorinstanz wird angewiesen, das Asylgesuch des Beschwerdeführers rasch einem Entscheid zuzuführen.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 Vorinstanz wird angewiesen, dem Beschwerdeführer für das Verfahren vor dem Bundesverwaltungsgericht eine Parteientschädigung von insgesamt Fr. 800.- auszurichten.</w:t>
      </w:r>
    </w:p>
    <w:p>
      <w:r>
        <w:rPr>
          <w:b/>
        </w:rPr>
        <w:t>E. 5</w:t>
      </w:r>
    </w:p>
    <w:p>
      <w:r>
        <w:t>Dieses Urteil geht an den Beschwerdeführer und das SEM. Die vorsitzende Richterin: Der Gerichtsschreiber: Nina Spälti Giannakitsas Constantin Hruschka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