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D-2013/2014 vom 6. August 2014</w:t>
      </w:r>
    </w:p>
    <w:p>
      <w:r>
        <w:t>Bundesverwaltungsgericht, 2014-08-06, DE</w:t>
      </w:r>
    </w:p>
    <w:p>
      <w:r>
        <w:rPr>
          <w:b/>
        </w:rPr>
        <w:t xml:space="preserve">Quelle: </w:t>
      </w:r>
      <w:r>
        <w:t>https://mcp.opencaselaw.ch/entscheid/bvger_D-2013_2014</w:t>
      </w:r>
    </w:p>
    <w:p>
      <w:r>
        <w:t>FR: TAF D-2013/2014 du 6 août 2014</w:t>
      </w:r>
    </w:p>
    <w:p>
      <w:r>
        <w:t>IT: TAF D-2013/2014 del 6 agosto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nach erfolgter Beschwerdeverbesserung - formgerecht vorliegende Beschwerde ist einzutreten (Art. 108 Abs. 1 AsylG; Art. 105 AsylG i.V.m. Art. 37 VGG und Art. 48 Abs. 1 und Art. 52 Abs. 1 VwVG).</w:t>
      </w:r>
    </w:p>
    <w:p>
      <w:r>
        <w:rPr>
          <w:b/>
        </w:rPr>
        <w:t>E. 2</w:t>
      </w:r>
    </w:p>
    <w:p>
      <w:r>
        <w:t>Mit Beschwerde kann die Verletzung von Bundesrecht sowie die unrichtige oder unvollständige Feststellung des rechtserheblichen Sachverhalts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(aArt. 12, 19, 20, 41 Abs. 2, 52 und 68 AsylG) in der bisherigen Fassung an­wendbar sind. Demnach sind auf den vorliegenden Fall die bisherigen Be­stimmungen betreffend das Auslandverfahren anzuwenden.</w:t>
      </w:r>
    </w:p>
    <w:p>
      <w:r>
        <w:rPr>
          <w:b/>
        </w:rPr>
        <w:t>E. 4.1</w:t>
      </w:r>
    </w:p>
    <w:p>
      <w:r>
        <w:t>Wird ein Asylgesuch im Ausland bei einer schweizerischen Vertretung gestellt, so führt diese mit der asylsuchenden Person in der Regel eine Befragung durch und überweist das Gesuch anschliessend an das BFM (vgl. dazu aArt. 19 und 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4.2</w:t>
      </w:r>
    </w:p>
    <w:p>
      <w:r>
        <w:t>Nach aArt.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4.3</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4.4</w:t>
      </w:r>
    </w:p>
    <w:p>
      <w:r>
        <w:t>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4.5</w:t>
      </w:r>
    </w:p>
    <w:p>
      <w:r>
        <w:t>Es ist unbestritten, dass die Gesundheit des Beschwerdeführers aufgrund seiner Kopfverletzung angeschlagen ist und er sich unter schwierigen Bedingungen in K._______ aufhält (vgl. vorstehend Sachverhalt Bst. F). Indessen ist mit der Vorinstanz darauf hinzuweisen, dass der Beschwerdeführer seit fünfzehn Jahren mit seiner Kopfverletzung und deren Folgen lebt, er nachweislich Zugang zu den führenden Kliniken des Aufenthaltsstaates hat und nicht von einer akut lebensbedrohlichen Situation ausgegangen werden muss. In diesem Zusammenhang ist auf die Praxis hinsichtlich des Vorliegens von Vollzugshindernissen hinzuweisen, wonach eine Unzumutbarkeit jedenfalls dann noch nicht vorläge, wenn im Heimat- oder Herkunftsstaat eine nicht dem schweizerischen Standard entsprechende medizinische Behandlung möglich wäre (vgl. BVGE 2009/2 E. 9.3.2 und BVGE 2011/50 E. 8.3). Aus diesen Gründen ist die Einschätzung der Vorinstanz, wonach es dem Beschwerdeführer zumutbar ist, sich weiterhin in Äthiopien aufzuhalten, nachvollziehbar. Wie bereits festgehalten, sind die Voraussetzungen zur Erteilung einer Einreisebewilligung grundsätzlich restriktiv zu umschrei­ben und den Behörden kommt dabei ein weiter Ermessensspielraum zu. Der Schluss des BFM, dass eine Abwägung der Gesamtum­stände - auch unter Einbezug des einzigen Anknüpfungspunktes des Beschwerdeführers zur Schweiz, seines hier lebenden Bruders - nicht dazu führe, dass es gerade die Schweiz sein müsse, die ihm den Schutz zu gewähren habe, ist weder willkürlich noch rechtsungleich. Die Beschwerde enthält keine Argumente, welche eine an­dere Sichtweise rechtfertigen würden. Es liegt vorliegend kein Ermessensmissbrauch und damit keine Bundesrechtsverletzung vor.</w:t>
      </w:r>
    </w:p>
    <w:p>
      <w:r>
        <w:rPr>
          <w:b/>
        </w:rPr>
        <w:t>E. 5</w:t>
      </w:r>
    </w:p>
    <w:p>
      <w:r>
        <w:t>Der Beschwerdeführer vermochte insgesamt nicht aufzuzeigen, dass er auf die Schutzgewährung durch die Schweiz angewiesen ist be­ziehungsweise ihm gerade die Schweiz den erforderlichen Schutz ge­währen muss. Der weitere Verbleib in Äthiopien ist ihm nach dem Gesagten zuzumuten und die Vorinstanz hat ihm zu Recht die Einreise in die Schweiz verweigert und dessen Asylgesuch abgelehnt.</w:t>
      </w:r>
    </w:p>
    <w:p>
      <w:r>
        <w:rPr>
          <w:b/>
        </w:rPr>
        <w:t>E. 6</w:t>
      </w:r>
    </w:p>
    <w:p>
      <w:r>
        <w:t>Aus diesen Erwägungen ergibt sich, dass die angefochtene Verfügung Bun­desrecht nicht verletzt und den rechtserheblichen Sachverhalt richtig und voll­ständig feststellt (Art. 106 Abs. 1 AsylG). Die Beschwerde ist nach dem Gesagten abzuweisen. 7.Bei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Bei dieser Sachlage wird das Gesuch um Gewährung der unentgeltlichen Rechtspflege im Sinne von Art. 65 Abs. 1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