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D-2013/2009 vom 6. April 2009</w:t>
      </w:r>
    </w:p>
    <w:p>
      <w:r>
        <w:t>Bundesverwaltungsgericht, 2009-04-06, DE</w:t>
      </w:r>
    </w:p>
    <w:p>
      <w:r>
        <w:rPr>
          <w:b/>
        </w:rPr>
        <w:t xml:space="preserve">Quelle: </w:t>
      </w:r>
      <w:r>
        <w:t>https://mcp.opencaselaw.ch/entscheid/bvger_D-2013_2009</w:t>
      </w:r>
    </w:p>
    <w:p>
      <w:r>
        <w:t>FR: TAF D-2013/2009 du 6 avril 2009</w:t>
      </w:r>
    </w:p>
    <w:p>
      <w:r>
        <w:t>IT: TAF D-2013/2009 del 6 aprile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(Art. 5 des Bundesgesetzes vom 20. Dezember 1968 über das Verwaltungsverfahren [VwVG, SR 172.021]) des BFM; das Bundesverwaltungsgericht entscheidet in diesem Bereich endgültig (Art. 105 des Asylgesetzes vom 26. Juni 1998 [AsylG, SR 142.31];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1.3</w:t>
      </w:r>
    </w:p>
    <w:p>
      <w:r>
        <w:t>Gemäss Art. 111 Bst. e AsylG entscheidet der Richter bei offensichtlich begründeten Beschwerden in einzelrichterlicher Zuständigkeit mit Zustimmung eines zweiten Richters beziehungsweise einer zweiten Richterin. Da es sich vorliegend - wie nachstehend aufzuzeigen sein wird - um eine solche handelt, ist der Beschwerdeentscheid nur summarisch zu begründen (vgl. Art. 111a Abs. 2 AsylG). Darüber hinaus wird vorliegend auch auf die Durchführung eines Schriftenwechsels verzichtet (vgl. Art. 111a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Die Beschwerde ist form- und fristgerecht eingereicht (Art. 50 und 52 VwVG); die Beschwerdeführerin ist durch die angefochtene Verfügung besonders berührt und hat ein schutzwürdiges Interesse an deren Aufhebung beziehungsweise Änderung. Sie ist daher zur Einreichung der Beschwerde legitimiert (Art. 6 AsylG i.V.m. Art. 48 Abs. 1 VwVG). Auf die Beschwerde ist mithin einzutreten.</w:t>
      </w:r>
    </w:p>
    <w:p>
      <w:r>
        <w:rPr>
          <w:b/>
        </w:rPr>
        <w:t>E. 3</w:t>
      </w:r>
    </w:p>
    <w:p>
      <w:r>
        <w:t>In Bezug auf die Qualifikation der Eingabe vom 21. Mai 2007 ist vorab Folgendes festzustellen: Ein weiteres Gesuch um Feststellung der Flüchtlingseigenschaft nach erfolglosem Durchlaufen eines (oder mehrerer) Asylverfahren ist nicht als Wiedererwägungsgesuch, sondern als neues Asylgesuch zu behandeln, sofern darin nicht zur Hauptsache Revisionsgründe geltend gemacht werden (vgl. dazu EMARK 1998 Nr. 1 E. 6.c.bb S. 12 ff.). In der Eingabe vom 21. Mai 2007 wurde unter anderem die Feststellung der Flüchtlingseigenschaft sowie die Gewährung von Asyl beantragt. Zur Begründung wurde auf eine seit dem rechtskräftigen Abschluss des zweiten Asylverfahrens eingetretene Veränderung der Sachlage hinsichtlich der Beurteilung der Flüchtlingseigenschaft des Sohnes der Beschwerdeführerin verwiesen. Somit hat die Vorinstanz die Eingabe des Rechtsvertreters der Beschwerdeführerin vom 21. Mai 2007 zu Recht nicht als (qualifiziertes) Wiedererwägungsgesuch, sondern als drittes Asylgesuch qualifiziert.</w:t>
      </w:r>
    </w:p>
    <w:p>
      <w:r>
        <w:rPr>
          <w:b/>
        </w:rPr>
        <w:t>E. 4.1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der Prüfung, ob Hinweise auf eine Verfolgung vorliegen, welche geeignet sind, die Flüchtlingseigenschaft zu begründen, ist vom klassischen engen Verfolgungsbegriff im Sinne von Art. 3 AsylG auszugehen. Mit Grundsatzurteil vom 8. Juni 2006 i.S. A.I.I. (vgl. EMARK 2008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zum Vornherein haltlos sind (vgl. EMARK 2005 Nr. 2 E. 4.3 S. 17).</w:t>
      </w:r>
    </w:p>
    <w:p>
      <w:r>
        <w:rPr>
          <w:b/>
        </w:rPr>
        <w:t>E. 5</w:t>
      </w:r>
    </w:p>
    <w:p>
      <w:r>
        <w:t>Das BFM hat vorliegend seinen Nichteintretensentscheid vom 20. März 2009 auf der Grundlage von Art. 32 Abs. 2 Bst. e AsylG gefällt. Es gilt daher im Folgenden zu prüfen, ob die Voraussetzungen für ein Nichteintreten nach Art. 32 Abs. 2 Bst. e AsylG erfüllt sind.</w:t>
      </w:r>
    </w:p>
    <w:p>
      <w:r>
        <w:rPr>
          <w:b/>
        </w:rPr>
        <w:t>E. 5.1</w:t>
      </w:r>
    </w:p>
    <w:p>
      <w:r>
        <w:t>Den Akten zufolge hat die Beschwerdeführerin bereits in den Jahren 1999 und 2003 Asylgesuche eingereicht. Das erste Asylgesuch lehnte das BFM mit Verfügung vom 4. Februar 2000 ab. Auf das zweite Asylgesuch trat es mit Verfügung vom 6. Mai 2004 nicht ein. Damit steht fest, dass die Beschwerdeführerin erfolglos zwei Asylverfahren durchlaufen hat.</w:t>
      </w:r>
    </w:p>
    <w:p>
      <w:r>
        <w:rPr>
          <w:b/>
        </w:rPr>
        <w:t>E. 5.2</w:t>
      </w:r>
    </w:p>
    <w:p>
      <w:r>
        <w:t>Das BFM führte zur Begründung seines Entscheides im Wesentlichen aus, die schriftliche, auch im Namen der Beschwerdeführerin eingereichte Eingabe vom 21. Mai 2007 beziehe sich inhaltlich nur auf die neuen Asylgründe ihres Sohnes D._______. Sinngemäss werde in dieser Eingabe die angebliche Gefährdung der Beschwerdeführerin mit der sich aus der Situation ihres Sohnes ergebenden Gefahr begründet. Da ihr Sohn im Rahmen des in der Schweiz durchgeführten R._______ gegenüber den jemenitischen Behörden mit M._______ in Verbindung gebracht worden sei, müsse auch sie als seine Mutter mit staatlichen Verfolgungsmassnahmen seitens der jemenitischen Behörden rechnen. Für eine derartige persönliche Bedrohung lägen jedoch keine hinreichenden Anhaltspunkte vor, die auf einer objektivierten Betrachtungsweise und nicht (bloss) auf der subjektiven Empfindung der Beschwerdeführerin beruhten. Ihre unsubstantiierten Aussagen liessen nicht darauf schliessen, dass sie von den jemenitischen Behörden im Zusammenhang mit dem Verfahren ihres Sohnes in der Schweiz in irgendeiner Form registriert worden sei und im Falle einer Rückkehr in den Jemen aus asylrechtlich relevanten Gründen mit einer Verfolgung zu rechnen hätte. Insbesondere seien keine konkreten Hinweise auf eine Reflexverfolgung der Beschwerdeführerin im Zusammenhang mit ihrem Sohn ersichtlich. Im vorliegenden Fall fehlten jegliche aktenkundigen Hinweise dafür, dass gegen sie in Jemen ein R._______ oder andere behördliche Massnahmen eingeleitet worden seien. Dabei sei in diesem Zusammenhang unter Hinweis auf die in Art. 8 AsylG verankerte Mitwirkungspflicht festzuhalten, dass es nicht Sache der Schweizerischen Asylbehörden sein könne, jede auch nur ansatzweise und abstrakt mögliche Gefährdungssituation im Heimatland der Beschwerdeführerin abklären zu müssen. Allein aufgrund ihrer verwandtschaftlichen Beziehungen sei die Beschwerdeführerin keinesfalls einem Kreis von Personen zuzurechnen, die bei einer Rückkehr nach Jemen asylbeachtliche Probleme mit den jemenitischen Behörden zu gewärtigen hätten.</w:t>
      </w:r>
    </w:p>
    <w:p>
      <w:r>
        <w:rPr>
          <w:b/>
        </w:rPr>
        <w:t>E. 5.3</w:t>
      </w:r>
    </w:p>
    <w:p>
      <w:r>
        <w:t>In der Beschwerde wird namentlich ausgeführt, die ARK habe bereits in ihrem publizierten Urteil vom 3. Mai 2000 (vgl. EMARK 2000 Nr. 14) zum Nichteintretenstatbestand von Art. 32 Abs. 2 Bst. e AsylG festgehalten, dass die Anwendung dieser Gesetzesbestimmung eine summarische materielle Prüfung der Glaubwürdigkeit der gesuchstellenden Person voraussetze, aus welcher sich das offensichtliche Fehlen von Hinweisen auf die Erfüllung der Flüchtlingseigenschaft ergebe. In diesem Zusammenhang sei ferner auf die von der ARK durchwegs und seit Jahren bestätigte Praxis hinzuweisen, wonach die Anforderungen an das Beweismass, dem Hinweise auf eine Verfolgung im Sinne von Art. 32 Abs. 2 Bst. e AsylG zu genügen hätten, gegenüber denjenigen an das Glaubhaftmachen im Sinne von Art. 7 AsylG geringer zu veranschlagen seien (vgl. EMARK 2004 Nr. 22 m.w.H.). Hinzu komme, dass heute eine erheblich andere Aktenlage gegenüber derjenigen im ersten und zweiten Asylverfahren der Beschwerdeführerin festzustellen sei, da ihr Sohn in der Zwischenzeit zusammen mit weiteren Angeschuldigten am (...) verhaftet und in der Folge in ein R._______ unter dem Vorwurf, einer G._______ nahestehenden F._______ angehört zu haben, verwickelt gewesen sei, welche schliesslich (...) zu einem Freispruch geführt habe. Bei dieser Sachlage liege es nahe, dass die Beschwerdeführerin im Fall einer Rückkehr in den Heimatstaat von Seiten der Sicherheitskräfte mit neuen und schwer wiegenden Vorwürfen konfrontiert sein könnte.</w:t>
      </w:r>
    </w:p>
    <w:p>
      <w:r>
        <w:rPr>
          <w:b/>
        </w:rPr>
        <w:t>E. 5.4</w:t>
      </w:r>
    </w:p>
    <w:p>
      <w:r>
        <w:t>Die Vorinstanz vertritt im vorliegenden Fall allem Anschein nach den Standpunkt, seit dem Abschluss des zweiten Asylverfahrens der Beschwerdeführerin seien keine Ereignisse eingetreten, die geeignet wären, ihre Flüchtlingseigenschaft zu begründen. Das Gericht vermag dieser Einschätzung der Vorinstanz indessen nicht zu folgen.</w:t>
      </w:r>
    </w:p>
    <w:p>
      <w:r>
        <w:rPr>
          <w:b/>
        </w:rPr>
        <w:t>E. 5.4.1</w:t>
      </w:r>
    </w:p>
    <w:p>
      <w:r>
        <w:t>Zunächst bleibt festzuhalten, dass bereits die Tatsache, dass der Sohn der Beschwerdeführerin in ein R._______ wegen F._______ vor der E._______ involviert war, ein Ereignis darstellt, welches zumindest geeignet sein könnte, die Flüchtlingseigenschaft der Beschwerdeführerin zu begründen. Zwar handelt es sich um ein Geschehnis, welches unmittelbar nur den Sohn der Beschwerdeführerin betrifft. Unter dem Aspekt der Reflexverfolgung betrachtet, vermag dieses Ereignis aber grundsätzlich durchaus auch bezüglich der Person der Beschwerdeführerin Auswirkungen zu entfalten. Im vorliegenden Fall tritt der Umstand dazu, dass das besagte R._______ in den Medien ein beachtliches Echo ausgelöst und insbesondere auch im nahen Osten publizistisches Interesse geweckt hat. Auch die an verschiedene Staaten und insbesondere an Jemen gerichteten L._______ der Schweiz im Rahmen des erwähnten R._______ haben dazu geführt, dass Jemen über die damaligen Verdachtsmomente der Schweiz gegenüber dem Sohn der Beschwerdeführerin informiert ist. Es muss daher als gewiss gelten, dass sowohl der jemenitische Staat als auch einzelne Drittpersonen um die Anschuldigungen der N._______ gegenüber dem Sohn der Beschwerdeführerin wissen. Vor diesem Hintergrund bestehen durchaus Hinweise darauf, dass die Beschwerdeführerin im Falle einer Rückkehr nach Jemen Verfolgungshandlungen seitens des jemenitischen Staates oder seitens Dritter ausgesetzt sein könnte.</w:t>
      </w:r>
    </w:p>
    <w:p>
      <w:r>
        <w:rPr>
          <w:b/>
        </w:rPr>
        <w:t>E. 5.4.2</w:t>
      </w:r>
    </w:p>
    <w:p>
      <w:r>
        <w:t>Im Weiteren bleibt festzuhalten, dass die Vorinstanz in ihrer Verfügung vom 20. März 2009 mit keinem Wort erwähnt hat, dass dem Sohn der Beschwerdeführerin am (...) durch das BFM selbst - mithin erstinstanzlich - Asyl gewährt worden ist. Gerade die Tatsache, dass diesem trotz Freispruch vom Vorwurf F._______ Asyl gewährt worden ist, lässt auch in Bezug auf die Beschwerdeführerin Spielraum für die Annahme, dass sie bei einer Rückkehr nach Jemen trotz Freispruch ihres Sohnes Anstände mit den heimatlichen Behörden oder Dritten haben könnte.</w:t>
      </w:r>
    </w:p>
    <w:p>
      <w:r>
        <w:rPr>
          <w:b/>
        </w:rPr>
        <w:t>E. 5.4.3</w:t>
      </w:r>
    </w:p>
    <w:p>
      <w:r>
        <w:t>Die Vorinstanz begründete im Weiteren ihre Einschätzung, wonach hinsichtlich der Beschwerdeführerin keine Hinweise auf deren Gefährdung bestünden damit, ihre unsubstantiierten Aussagen liessen nicht darauf schliessen, dass sie von den jemenitischen Behörden im Zusammenhang mit dem Verfahren ihres Sohnes in der Schweiz in irgendeiner Form registriert worden sei und deswegen im Falle einer Rückkehr mit einer asylrelevanten Verfolgung zu rechnen habe. Hinsichtlich des Vorwurfs unsubstantiierter Aussagen ist festzuhalten, dass die neuen Asylgründe der Beschwerdeführers anlässlich ihres dritten Asylantrags im EVZ P._______ gar nicht erhoben worden sind, wie ihr Rechtsvertreter in seiner Beschwerde (s. ebendort S. 3/4) zutreffend vermerkt hat. Sie bestätigte auf die entsprechende - allgemein gehaltene - Fragestellung im Rahmen ihrer dortigen Anhörung am 21. Juni 2007 hin lediglich, immer noch dieselben Probleme wie bei ihrem letzten Asylgesuch zu haben (vgl. act. D10 S. 5, Ziff. 15). Vor diesem Hintergrund lässt sich der Vorwurf der Vorinstanz, die Beschwerdeführerin habe hinsichtlich ihrer neuen Asylvorbringen unsubstantiierte Aussagen gemacht, nicht aufrecht erhalten, zumal der Beschwerdeführerin zwischen ihrer Anhörung im EVZ P._______ und der Ausfällung des erstinstanzlichen Entscheides durch das BFM am 20. März 2009 förmlich keine Gelegenheit eingeräumt wurde, sich bezüglich ihrer aktuellen Situation nochmals mündlich oder schriftlich zu äussern.</w:t>
      </w:r>
    </w:p>
    <w:p>
      <w:r>
        <w:rPr>
          <w:b/>
        </w:rPr>
        <w:t>E. 5.4.4</w:t>
      </w:r>
    </w:p>
    <w:p>
      <w:r>
        <w:t>Zusammenfassend ist demnach anzuführen, dass den Aussagen der Beschwerdeführerin Hinweise dafür zu entnehmen sind, dass seit Abschluss ihres letzten Asylverfahrens im Mai 2004 Ereignisse eingetreten sind, welche geeignet sein könnten, die Flüchtlingseigenschaft zu begründen. Damit fällt die Möglichkeit, in Anwendung von Art. 32 Abs. 2 Bst. e AsylG einen Nichteintretensentscheid zu treffen, von vornherein ausser Betracht. Bei dieser Sachlage kann auch die Frage offen bleiben, ob die Vorinstanz zusätzlich auch das rechtliche Gehör der Beschwerdeführerin im Sinne von Art. 36 Abs. 2 AsylG verletzt hat.</w:t>
      </w:r>
    </w:p>
    <w:p>
      <w:r>
        <w:rPr>
          <w:b/>
        </w:rPr>
        <w:t>E. 6</w:t>
      </w:r>
    </w:p>
    <w:p>
      <w:r>
        <w:t>Demnach ergibt sich, dass die Vorinstanz zu Unrecht auf das dritte Asylgesuch der Beschwerdeführerin vom 19. Juni 2007 gestützt auf Art. 32 Abs. 2 Bst. e AsylG nicht eingetreten ist. Damit hat es Bundesrecht verletzt (vgl. Art. 106 AsylG). Die Beschwerde ist somit gutzuheissen, die angefochtene Verfügung des BFM vom 20. März 2009 aufzuheben und die Sache zur Neubeurteilung im Sinne der Erwägungen an die Vorinstanz zurückzuweisen.</w:t>
      </w:r>
    </w:p>
    <w:p>
      <w:r>
        <w:rPr>
          <w:b/>
        </w:rPr>
        <w:t>E. 7.1</w:t>
      </w:r>
    </w:p>
    <w:p>
      <w:r>
        <w:t>Bei diesem Ausgang des Verfahrens sind der Beschwerdeführerin keine Kosten aufzuerlegen (Art. 63 Abs. 1 und 2 VwVG). Das Gesuch um Gewährung der unentgeltlichen Rechtspflege gemäss Art. 65 Abs. 1 VwVG wird damit gegenstandslos.</w:t>
      </w:r>
    </w:p>
    <w:p>
      <w:r>
        <w:rPr>
          <w:b/>
        </w:rPr>
        <w:t>E. 7.2</w:t>
      </w:r>
    </w:p>
    <w:p>
      <w:r>
        <w:t>Der Rechtsvertreter der Beschwerdeführerin hat in seiner Rechtsmitteleingabe einen Antrag auf unentgeltliche Rechtsverbeiständung gestellt.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 a priori als offensichtlich begründet und daher (nach Zustimmung des Zweitrichters) einzelrichterlich geführte - Verfahren erscheint insbesondere in tatsächlicher Hinsicht nicht besonders komplex, weshalb das Gesuch um unentgeltliche Rechtsverbeiständung im Sinne von Art. 65 Abs. 2 VwVG abzuweisen ist.</w:t>
      </w:r>
    </w:p>
    <w:p>
      <w:r>
        <w:rPr>
          <w:b/>
        </w:rPr>
        <w:t>E. 7.3</w:t>
      </w:r>
    </w:p>
    <w:p>
      <w:r>
        <w:t>Obsiegende Parteien haben Anspruch auf eine Parteientschädigung für die ihnen erwachsenen notwendigen und verhältnismässig hohen Kosten (Art. 7 des Reglements vom 21. Februar 2008 über die Kosten und Entschädigungen vor dem Bundesverwaltungsgericht [VGKE, SR 173.320.2]). Auf eine entsprechende Aufforderung zur Einreichung einer Kostennote kann in casu verzichtet werden, da sich der Parteiaufwand zuverlässig abschätzen lässt. Die von der Vorinstanz zu entrichtende Parteientschädigung ist demnach auf Fr. 1'100.-- (inklusive Spesen und Mehrwertsteuer) festzusetzen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