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D-2012/2016 vom 7. Juli 2016</w:t>
      </w:r>
    </w:p>
    <w:p>
      <w:r>
        <w:t>Bundesverwaltungsgericht, 2016-07-07, DE</w:t>
      </w:r>
    </w:p>
    <w:p>
      <w:r>
        <w:rPr>
          <w:b/>
        </w:rPr>
        <w:t xml:space="preserve">Quelle: </w:t>
      </w:r>
      <w:r>
        <w:t>https://mcp.opencaselaw.ch/entscheid/bvger_D-2012_2016</w:t>
      </w:r>
    </w:p>
    <w:p>
      <w:r>
        <w:t>FR: TAF D-2012/2016 du 7 juillet 2016</w:t>
      </w:r>
    </w:p>
    <w:p>
      <w:r>
        <w:t>IT: TAF D-2012/2016 del 7 luglio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dabei jedoch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Zürich 2008, Rz. 15 zu Art. 12; Benjamin Schindler, in Auer/Mülller/Schindler [Hrsg.], a.a.O., Rz. 28 zu Art. 49). Alle erheblichen Parteivorbringen sind sodann zu prüfen und zu würdigen (vgl. Art. 29 Abs. 2 BV; Art. 35 Abs. 1 VwVG), wobei sich das Ergebnis der Würdigung in der Entscheidbegründung niederzuschlagen hat (vgl. Art. 35 VwVG). Nach den von Lehre und Praxis entwickelten Grundsätzen, hat die verfügende Behörde im Rahmen der Entscheidbegründung die Überlegungen zu nennen, von denen sie sich leiten liess und auf die sich ihr Entscheid stützt. Die Begründung des Entscheides muss so abgefasst sein, dass die Betroffenen ihn gegebenenfalls sachgerecht anfechten können. Die Behörde muss sich jedoch nicht mit jeder tatbeständlichen Behauptung auseinandersetzen, sondern kann sich auf die für den Entscheid wesentlichen Gesichtspunkte beschränken. Mit der Pflicht zu Offenlegung der Entscheidgründe kann zudem in der Regel verhindert werden, dass sich die Behörde von unsachgemässen Motiven leiten lässt.</w:t>
      </w:r>
    </w:p>
    <w:p>
      <w:r>
        <w:rPr>
          <w:b/>
        </w:rPr>
        <w:t>E. 3.2</w:t>
      </w:r>
    </w:p>
    <w:p>
      <w:r>
        <w:t>Der Vorwurf, das SEM wäre gehalten gewesen, sich noch vertiefter mit dem eingereichten Aufgebot für den Reservedienst zu befassen, überzeugt nicht. Im angefochtenen Entscheid hielt die Vorinstanz mit ausführlichen Verweisen auf das dort genannte Urteil des Gerichts fest, ein derartiges Aufgebot, angeblich ausgestellt am geltend gemachten Ort im geltend gemachten Zeitpunkt, müsse aufgrund der bekannten politischen Machtsituation für gefälscht erachtet werden. Zudem erwog die Vorinstanz, die angebliche Vorgehensweise des Beschwerdeführers vor der Ausreise mit den damit verbundenen Risiken spreche ebenfalls gegen die Echtheit des Beweismittels. Vor diesem Hintergrund erübrigte sich ein Eingehen auf allfällige Fälschungsmerkmale formaler oder inhaltlicher Art im Dokument, da aufgrund der rechtlich korrekt getroffenen Einschätzung die fehlende Authentizität genügend feststand. Eine Gehörsverletzung ist nach dem Gesagten nicht ersichtlich.</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Die in Syrien herrschende politische und menschenrechtliche Lage wurde durch das Bundesverwaltungsgericht im Rahmen zweier asylrechtlicher Koordinationsentscheide ausführlich gewürdigt (vgl. BVGE 2015/3 E. 6.2 sowie Urteil D-5779/2013 vom 25. Februar 2015 [als Referenzurteil publiziert] E. 5.3 und 5.7.2, jeweils mit weiteren Nachweisen). Es ist durch eine Vielzahl von Berichten belegt, dass die staatlichen syrischen Sicherheitskräfte seit dem Ausbruch des Konflikts im März 2011 gegen tatsächliche oder vermeintliche Regimegegner mit grösster Brutalität und Rücksichtslosigkeit vorgehen. Personen, die sich an regimekritischen Demonstrationen beteiligt haben, sind in grosser Zahl von Verhaftung, Folter und willkürlicher Tötung betroffen. Mit anderen Worten haben Personen, die durch die staatlichen syrischen Sicherheitskräfte als Gegner des Regimes identifiziert werden, eine Behandlung zu erwarten, die einer flüchtlingsrechtlich relevanten Verfolgung im Sinne von Art. 3 AsylG gleichkommt.</w:t>
      </w:r>
    </w:p>
    <w:p>
      <w:r>
        <w:rPr>
          <w:b/>
        </w:rPr>
        <w:t>E. 6.1</w:t>
      </w:r>
    </w:p>
    <w:p>
      <w:r>
        <w:t>Das Bundesverwaltungsgericht hat sich im vom SEM erwähnten Urteil D-4844/2013 vom 11. Februar 2016 unter Bezugnahme auf die Leitentscheide ausführlich mit der militärischen Situation im relevanten Gebiet befasst. Der Einwand in der Beschwerde, dabei sei es gar nicht um eine eigentliche militärische Vorladung gegangen, ist unerheblich, wurde doch wie auch vorliegend geprüft, ob eine militärische Einberufung durch die syrischen Regierungstruppen Anfang 2015 überhaupt noch erfolgen konnte. Diese Frage wurde klar verneint. In einem späteren Urteil wurde eine solche Aufbietung auch für das Jahr 2014 für nicht realistisch erachtet (D-948/2015 vom 14. März 2016 E. 5.3). Die Einwände der Beschwerdeführenden, die geltend gemachte Aufbietung sei in Anbetracht der sich immer wieder verändernden Zustände vor Ort und gewisser Schwächen auch der kurdischen Bewegung gleichwohl möglich gewesen, erscheint nach dem Gesagten in keiner Weise als stichhaltig. Vielmehr ist gemäss dem ferner vom SEM zitierten Urteil D-149/2014 vom 28. Dezember 2015 davon auszugehen, dass in Anbetracht der tatsächlichen Situation vor Ort generell von einem tiefen Beweiswert amtlicher syrischer Dokumente auszugehen ist (vgl. E. 6.3.1). Überzeugende Beschwerdeargumente für eine andere Sichtweise fehlen wiederum. Soweit der Beschwerdeführer im Übrigen vorbringt, er habe im Zusammenhang mit der Vorladung substanziierte und nachvollziehbare Angaben geliefert, kann ihm wiederum nicht gefolgt werden. Anlässlich der Anhörung machte er wiederholt eher wirre und in zeitlicher Hinsicht abweichende Darlegungen zur Vorladung und dem Zeitpunkt der Ausreise (A 10/23 Antworten 91 ff. und 124 ff.). Auch konnte er nicht überzeugend darlegen, weshalb er das Risiko einging, im Rahmen eines Umwegs die Vorladung zu beschaffen, und dann mit ihr auszureisen. Das Argument in der Beschwerde, er habe ein Beweismittel für seine Vorbringen im europäischen Asylverfahren nicht liegen lassen wollen, erscheint bei allem Verständnis für die ihm obliegende Mitwirkungspflicht eher asyltaktisch und erweckt nicht den Eindruck, er sei die erwähnten Risiken bewusst eingegangen. Vielmehr ist auch in diesem Lichte besehen die Echtheit des Dokuments wiederum zu verneinen, da er bei tatsächlich drohender Verhaftung wegen Refraktion kaum die erwähnte Gefahr ignoriert hätte. Vielmehr hätte nahe gelegen, den Onkel, zu dem ja offenbar ein Vertrauensverhältnis besteht, mit der Vernichtung des Dokuments zu beauftragen.</w:t>
      </w:r>
    </w:p>
    <w:p>
      <w:r>
        <w:rPr>
          <w:b/>
        </w:rPr>
        <w:t>E. 6.2</w:t>
      </w:r>
    </w:p>
    <w:p>
      <w:r>
        <w:t>Nach dem Gesagten vermochte der Beschwerdeführer nicht glaubhaft zu machen, er sei für den Militärdienst aufgeboten worden beziehungsweise ihm drohe eine solche Aufbietung. Entsprechend kann er aus dem zitierten BVGE 2015/3 nichts zu seinen Gunsten ableiten. Allein die blosse Möglichkeit, nach der Rückkehr allenfalls doch militärisch aufgeboten zu werden, vermag keine Furcht vor asylrechtlich relevanten Nachteilen zu begründen.</w:t>
      </w:r>
    </w:p>
    <w:p>
      <w:r>
        <w:rPr>
          <w:b/>
        </w:rPr>
        <w:t>E. 6.3</w:t>
      </w:r>
    </w:p>
    <w:p>
      <w:r>
        <w:t>Im Weiteren machen die Beschwerdeführenden nicht geltend, sich politisch betätigt zu haben. Entsprechend können sie nicht als Personen, die durch die staatlichen syrischen Sicherheitskräfte als Gegner des Regimes identifiziert wurden, angesehen werden.</w:t>
      </w:r>
    </w:p>
    <w:p>
      <w:r>
        <w:rPr>
          <w:b/>
        </w:rPr>
        <w:t>E. 6.4</w:t>
      </w:r>
    </w:p>
    <w:p>
      <w:r>
        <w:t>Die Vorinstanz kam ferner zum Schluss, die von den Beschwerdeführenden geltend gemachten allgemeinen Nachteile aufgrund der Bürgerkriegssituation wiesen praxisgemäss keine Asylrelevanz auf. Diese nicht zu beanstandende Sichtweise ist im Rekursverfahren unwidersprochen geblieben.</w:t>
      </w:r>
    </w:p>
    <w:p>
      <w:r>
        <w:rPr>
          <w:b/>
        </w:rPr>
        <w:t>E. 6.5</w:t>
      </w:r>
    </w:p>
    <w:p>
      <w:r>
        <w:t>Das SEM hält sodann auch zu Recht fest, einzig die illegale Ausreise vermöge in der vorliegenden Fallkonstellation keinen subjektiven Nachfluchtgrund verbunden mit der Anerkennung als Flüchtling zu begründen. Überzeugende Beschwerdegegenargumente sind den Eingaben nicht zu entnehmen.</w:t>
      </w:r>
    </w:p>
    <w:p>
      <w:r>
        <w:rPr>
          <w:b/>
        </w:rPr>
        <w:t>E. 7</w:t>
      </w:r>
    </w:p>
    <w:p>
      <w:r>
        <w:t>Unter Berücksichtigung der gesamten Umstände folgt, dass die Be­schwerdeführenden keine Gründe nach Art. 3 AsylG nachweisen oder glaub­haft machen konnten. Taugliche Beweismittel oder Beschwerdeargumente für eine andere Sichtweise fehlen. Die Vorinstanz hat die Flüchtlingseigen­schaft zu Recht verneint und die Asylgesuche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8.2</w:t>
      </w:r>
    </w:p>
    <w:p>
      <w:r>
        <w:t>Ist der Vollzug der Wegweisung nicht zulässig, nicht zumutbar oder nicht möglich, so regelt das Staatssekretariat das Anwesenheitsverhältnis nach den gesetzlichen Bestimmungen über die vorläufige Aufnahme von Ausländern (Art. 44 AsylG; Art. 83 Abs. 1 AuG [SR 142.20]). Die Vorinstanz hat die Beschwerdeführenden in der angefochtenen Verfügung infolge Unzumutbarkeit des Wegweisungsvollzugs vorläufig aufgenommen. Praxisgemäss stellen sich in diesem Zusammenhang keine weiteren Fragen mehr, zumal die Wegweisungsvollzugshindernisse alternativer Natur sind und bei Vorliegen eines dieser Hindernisse der Vollzug als nicht durchführbar gilt.</w:t>
      </w:r>
    </w:p>
    <w:p>
      <w:r>
        <w:rPr>
          <w:b/>
        </w:rPr>
        <w:t>E. 8.3</w:t>
      </w:r>
    </w:p>
    <w:p>
      <w:r>
        <w:t>Im Sinne einer Klarstellung wird abschliessend festgehalten, dass sich aus den vorstehenden Erwägungen nicht der Schluss ergibt, die Beschwerdeführenden seien zum heutigen Zeitpunkt angesichts der Entwicklung in Syrien in ihrem Heimatstaat nicht gefährdet. Indessen ist eine solche Gefährdungslage ausschliesslich unter dem Aspekt von Art. 83 Abs. 4 AuG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SEM mit der Anordnung der vorläufigen Aufnahme wegen Unzumutbarkeit des Wegweisungsvollzugs damit genügend Rechnung getragen.</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10.1</w:t>
      </w:r>
    </w:p>
    <w:p>
      <w:r>
        <w:t>Bei diesem Ausgang des Verfahrens wären die Verfahrenskosten den Beschwerdeführenden aufzuerlegen (Art. 63 Abs. 1 VwVG). Die Beschwerdeführenden stellten in ihrer Rechtsmitteleingabe jedoch ein Gesuch um unentgeltliche Rechtspflege im Sinne von Art. 65 Abs. 1 VwVG, welches das Gericht mit Instruktionsverfügung vom 8. April 2016 guthiess. Da sich ihre finanzielle Situation seither nicht entscheidwesentlich veränderte, ist auf die Erhebung von Kosten zu verzichten.</w:t>
      </w:r>
    </w:p>
    <w:p>
      <w:r>
        <w:rPr>
          <w:b/>
        </w:rPr>
        <w:t>E. 10.2</w:t>
      </w:r>
    </w:p>
    <w:p>
      <w:r>
        <w:t>Mit Zwischenverfügung vom 11. Mai 2016 wurde ausserdem das Ge­such um amtliche Verbeiständung gutgeheissen (Art. 110a Abs. 1 AsylG) und den Beschwerdeführenden der Rechtsvertreter als Rechtsbeistand zu­geord­net. Er hat für dieses Verfahren eine Kostennote eingereicht, welche in der geltend gemachten Höhe von Fr. 3137.40 nicht als angemessen erscheint, zumal das vorliegende Verfahren eine geringe Komplexität aufweist. Aufgrund der massgebenden Bemessungsfaktoren (Art. 9-13 VGKE des Reglements vom 21. Februar 2008 über die Kosten und Entschädigungen vor dem Bundesverwaltungsgericht [VGKE, SR 173.320.2]) ist das dem Rechtsvertreter für das Beschwerdeverfahren zulasten der Gerichtskasse auszurichtende Honorar auf insgesamt Fr. 2200.- festzusetzen. Die eingereichte Replik ist in diesem Betrag berücksichtigt.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