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D-2012/2012 vom 26. Juli 2012</w:t>
      </w:r>
    </w:p>
    <w:p>
      <w:r>
        <w:t>Bundesverwaltungsgericht, 2012-07-26, DE</w:t>
      </w:r>
    </w:p>
    <w:p>
      <w:r>
        <w:rPr>
          <w:b/>
        </w:rPr>
        <w:t xml:space="preserve">Quelle: </w:t>
      </w:r>
      <w:r>
        <w:t>https://mcp.opencaselaw.ch/entscheid/bvger_D-2012_2012</w:t>
      </w:r>
    </w:p>
    <w:p>
      <w:r>
        <w:t>FR: TAF D-2012/2012 du 26 juillet 2012</w:t>
      </w:r>
    </w:p>
    <w:p>
      <w:r>
        <w:t>IT: TAF D-2012/2012 del 26 luglio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3.Gestützt auf Art. 111a Abs. 1 AsylG wurde vorliegend auf die Durchführung eines Schriftenwechsels verzichtet.</w:t>
      </w:r>
    </w:p>
    <w:p>
      <w:r>
        <w:rPr>
          <w:b/>
        </w:rPr>
        <w:t>E. 4.1</w:t>
      </w:r>
    </w:p>
    <w:p>
      <w:r>
        <w:t>Das Bundesamt kann ein im Ausland gestelltes Asylgesuch ab­leh­nen, wenn die asylsuchenden Personen keine Verfolgung glaubhaft ma­chen können oder ihnen die Aufnahme in einem Drittstaat zu­ge­mu­tet werden kann. Glaubhaft machen heisst,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4.2</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die dort akzentuierte Praxis hat nach bloss redak­tionellen Än­derungen bei der letzten Totalrevision des Asylgesetzes nach wie vor Gültigkeit).</w:t>
      </w:r>
    </w:p>
    <w:p>
      <w:r>
        <w:rPr>
          <w:b/>
        </w:rPr>
        <w:t>E. 5.1</w:t>
      </w:r>
    </w:p>
    <w:p>
      <w:r>
        <w:t>Die Vorinstanz ging von der Glaubhaftigkeit der Darlegungen des Beschwerdeführers aus. Im Ergebnis erachtete sie dessen geltend gemachte Ge­fährdung jedoch als weder einreise- noch asylrechtlich relevant. Nach Überprüfung der Akten gelangt das Bundesverwaltungsgericht zum gleichen Schluss. Der Vollständigkeit halber ist in diesem Zusammenhang indes anzumerken, dass die Redaktion des vorinstanzlichen Entscheids hinsichtlich der Wiedergabe des vom Beschwerdeführer vorgebrachten Sachverhalts als äusserst rudimentär, teilweise gar als unvollständig zu bezeichnen ist. Nicht anders verhält es sich sodann mit den konkreten fallbezogenen Begründungselementen des BFM in der angefochtenen Verfügung (vgl. II/1a und b). Die entsprechenden Ausführungen des BFM erweisen sich als nicht über Allgemeinplätze hinausgehende, bausteinhafte, teils unvollständig begründete (Weglassen eines Teilsatzes) und eher oberflächlich gehaltene Erwägungen, denen aber grundsätzlich die Einschätzung hinsichtlich der Gefährdungssituation des Beschwerdeführers aufgrund von dessen Aussagen entnommen werden kann. Ungeachtet dieser unsauber und mangelhaften Sachverhaltsfeststellung durch die Vorinstanz sowie ihrer als grenzwertig respektive knapp genügend zu bezeichnenden Begründung erachtet das Bundesverwaltungsgericht bei gesamtheitlicher Betrachtung, dass sich im vorliegenden Falle eine Rückweisung der Sache an die Vorinstanz zum erneuten Entscheid nicht rechtfertigt. Der Beschwerdeführer konnte seine Gründe für die Erteilung einer Einreisebewilligung in die Schweiz sowie um Gewährung von Asyl in den verschiedenen Verfahrensabschnitten umfassend und ausführlich darlegen (vgl. Bst. A Abschnitt 1 und 3 sowie Bst. B hiervor). Er wiederholte, präzisierte und ergänzte dabei jeweils den Sachverhalt, wobei die Präzisierungen und Ergänzungen im Rahmen der anlässlich des schriftlichen Asylgesuchs geschilderten und empfundenen Gefährdungssituation gleichblieben und diese nicht plötzlich in einer zusätzlichen, eklatant unterschiedlichen beziehungsweise massiver gearteten Verfolgungssituation gründete. Mithin kann der Sachverhalt, wie er sich aus der Sachverhaltsdarstellung dieses Urteils ergibt, als erstellt gelten. Ferner wurde dem Beschwerdeführer eine sachgerechte Anfechtung des vorinstanzlichen Entscheids nicht verunmöglicht (vgl. nachstehend E. 5.3). Nicht zuletzt sind auch prozessökonomische Gründe in die Überlegungen miteinzubeziehen, um vorliegend entscheiden zu können.</w:t>
      </w:r>
    </w:p>
    <w:p>
      <w:r>
        <w:rPr>
          <w:b/>
        </w:rPr>
        <w:t>E. 5.2</w:t>
      </w:r>
    </w:p>
    <w:p>
      <w:r>
        <w:t>Es ist festzustellen, dass der Beschwerdeführer die von ihm anlässlich der Befra­gung durch die Botschaft zu Protokoll gegebenen Antworten im Zusammenhang mit seinen Bedenken vor mög­lichen künftigen Verfolgungsmassnahmen seitens Drittpersonen oder des Staates nicht hinlänglich zu begründen vermag. Aufgrund der Akten ergibt sich, dass sowohl die Leute der Karuna-Gruppe als auch die sri-lankischen Behörden vom Engagement des Beschwerdeführers [Berufsbezeichnung] Kenntnis hatten und von ihm deswegen auch Auskünfte einverlangten. Der Beschwerdeführer führte sodann aus, dass er in den drei Jahren seiner Anstellung als [Berufsbezeichnung] in A. jedoch keinen Problemen seitens der Karuna-Gruppe ausgesetzt gewesen sei. Schwierigkeiten mit Angehörigen dieser Gruppe hätten erst im Zusammenhang mit den Wahlen nach einer verbalen Auseinandersetzung im Jahre 2010 wieder begonnen. Jene hätten sich am 26. Januar 2010 zu Hause in seiner Abwesenheit nach ihm erkundigt; danach jedoch nicht mehr (Protokoll Botschaftsbefragung S. 6). Ausser einer keine nennenswerten Nachteile nach sich ziehenden Befragung durch die STF im Jahre 2007 machte der Beschwerdeführer ebenfalls keine Schwierigkeiten durch die sri-lankischen Behörden geltend (Protokoll Botschaftsbefragung S. 7). Auch sind den Akten keine Anhaltspunkte zu entnehmen, wonach ihm aufgrund seines Engagements als Wahlhelfer für Fonseka nachteilige Massnahmen staatlicher Organe widerfahren wären. Vor diesem Hintergrund ist denn auch davon auszugehen, dass sich der Beschwerdeführer wegen der von ihm geschilderten Benachteiligungen durch Angehörige der Karuna-Gruppe durchaus an die sri-lankischen Behörden hätte wenden und diese um Schutz hätte ersuchen können, was er gemäss eigenen Aussagen aus Angst indes unterlassen habe. Die in diesem Zusammenhang abgegebene Begründung, wonach starke Verbindungen zwischen der Karuna-Gruppe und der Polizei bestehen würden, erweist sich als mutmassend und daher unbehelflich, zumal konkrete Hinweise oder substanziierte Ausführungen hierzu unterbleiben. Gleichermassen verhält es sich mit den angeblichen häufigen Erkundigungen durch das CID hinsichtlich seiner politischen Aktivitäten. Insbesondere erstaunt in diesem Zusammenhang, dass Nachfragen nach ihm erst im Jahre 2011 begonnen haben sollen (Eingabe: 25. Juli 2011). Schliesslich ist nicht ausser Acht zu lassen, dass der Beschwerdeführer ohne Schwierigkeiten mit dem Zug nach Colombo zur Befragung gelangt ist (Protokoll Botschaftsbefragung S. 9). Den im vorinstanzlichen Verfahren mit seinem Sachvortrag eingereichten Be­weis­mitteln ist - wie das BFM zutreffend festhielt - keine wei­te­re Bedeutung beizumessen, da in casu diesen die asylrechtlicher Relevanz abzusprechen ist.</w:t>
      </w:r>
    </w:p>
    <w:p>
      <w:r>
        <w:rPr>
          <w:b/>
        </w:rPr>
        <w:t>E. 5.3</w:t>
      </w:r>
    </w:p>
    <w:p>
      <w:r>
        <w:t>Die Vorbringen in der Rechtsmitteleingabe sind nicht geeignet, eine Änderung der angefochtenen Verfügung zu bewirken. Der Sachverhalt bleibt grundsätzlich unverändert. Die Einwendungen des Beschwerdeführers, wonach das BFM seinen Asylantrag mit der Begründung abgelehnt habe, dass keine unmittelbare Bedrohung für sein Leben bestehen würde, finden in der angefochtenen Verfügung keine Stütze. Weder führte das BFM aus, die "Karuna-Gruppe" sei keine terroristische Vereinigung, weshalb auch keine Bedrohung durch die Kriminalpolizei wegen seines Alters bestehe, noch erwog es, dass sein Fall schon älter sei und ihm deshalb nichts geschehen werde. Auch mit den erneuten Ausführungen, wonach er im Zusammenhang rund um sein Engagement [Berufsbezeichnung] im Dienste der TRO von der Karuna-Gruppe zur Kategorie eines Informanten der LTTE gezählt werde und deshalb in Lebensgefahr sei, vermag der Beschwerdeführer - wie bereits oben dargelegt - nichts zu seinen Gunsten abzuleiten. Die entsprechenden Vorbringen fördern keine neuen Erkenntnisse zu Tage, welche konkret in Bezug auf seine Person in asylrechtlicher Hinsicht von Bedeutung sein könnten. Die von ihm in diesem Zusammenhang angeführten Begründungselemente gehen nicht über bereits Bekanntes hinaus und lassen sich letztlich auf die allgemeine in Sri Lanka herrschende Situation respektive auf die von ihm überzeichnet dar­gestellten und empfundenen Lebensumstände reduzieren, was indes keine individuelle Betroffenheit im Sinne des Asylgesetzes darzutun vermag. Keine Änderung in der Beurteilung der vorliegenden Angelegenheit bewirken die eingereichten Beweismittel. Der Bestätigung des Friedensrichters K.R. vom 2. März 2012 liegt ein Sachverhalt aus dem Jahre 1990 zu Grunde, welcher mangels Aktualitätsbezugs keine beweisrechtliche Bedeutung zu erlangen vermag. Gleichermassen verhält es sich mit dem Gefälligkeitscharakter aufweisenden Schreiben von K.R. vom 25. März 2012 (Arbeitsbestätigung gemäss Beschwerdeführer). Dieses bestätigt in äusserst allgemeiner Weise bloss den vom Beschwerdeführer geltend ge­machten und als nicht asylbeachtlich beurteilten Sachverhalt, weshalb diesem die beweisrechtliche Bedeutung ebenfalls abzusprechen ist. Schliesslich bleibt auch die Behauptung vollkommen unbelegt, wonach sein Schwager verhaftet worden sei und bis jetzt keine Hinweise auf dessen Aufenthaltsort bekannt seien. Angesichts dieser Sachlage erübrigen sich weitere Erörterungen.</w:t>
      </w:r>
    </w:p>
    <w:p>
      <w:r>
        <w:rPr>
          <w:b/>
        </w:rPr>
        <w:t>E. 6</w:t>
      </w:r>
    </w:p>
    <w:p>
      <w:r>
        <w:t>Zusammenfassend ist festzustellen, dass der Beschwerdeführer kei­ne Ver­folgung im Sinne von Art. 3 AsylG darzutun vermochte. Das BFM hat dem­nach zu Recht die Einreise in die Schweiz nicht bewilligt und das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