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D-2007/2014 vom 14. August 2014</w:t>
      </w:r>
    </w:p>
    <w:p>
      <w:r>
        <w:t>Bundesverwaltungsgericht, 2014-08-14, DE</w:t>
      </w:r>
    </w:p>
    <w:p>
      <w:r>
        <w:rPr>
          <w:b/>
        </w:rPr>
        <w:t xml:space="preserve">Quelle: </w:t>
      </w:r>
      <w:r>
        <w:t>https://mcp.opencaselaw.ch/entscheid/bvger_D-2007_2014</w:t>
      </w:r>
    </w:p>
    <w:p>
      <w:r>
        <w:t>FR: TAF D-2007/2014 du 14 août 2014</w:t>
      </w:r>
    </w:p>
    <w:p>
      <w:r>
        <w:t>IT: TAF D-2007/2014 del 14 agosto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2.2</w:t>
      </w:r>
    </w:p>
    <w:p>
      <w:r>
        <w:t>Gestützt auf Art. 111a Abs. 1 AsylG wurde vorliegend auf die Durchführung eines Schriftenwechsels verzichtet.</w:t>
      </w:r>
    </w:p>
    <w:p>
      <w:r>
        <w:rPr>
          <w:b/>
        </w:rPr>
        <w:t>E. 3</w:t>
      </w:r>
    </w:p>
    <w:p>
      <w:r>
        <w:t>Die Kognition des Bundesverwaltungsgerichts und die Rügemöglichkeiten richten sich nach Art. 106 Abs. 1 AsylG.</w:t>
      </w:r>
    </w:p>
    <w:p>
      <w:r>
        <w:rPr>
          <w:b/>
        </w:rPr>
        <w:t>E. 4.1</w:t>
      </w:r>
    </w:p>
    <w:p>
      <w:r>
        <w:t>In der Beschwerde wird geltend gemacht, die Vorinstanz habe die potentielle Gefährdungslage der Beschwerdeführenden aufgrund ihrer Glau­bens­an­ge­hörigkeit bei einer allfälligen Wegweisung nicht abgeklärt beziehungsweise dieser keine Rechnung getragen. Es ist daher vorab zu prüfen, ob das BFM den Untersuchungsgrundsatz verletzt hat respektive seiner Begründungspflicht nicht nachgekommen ist.</w:t>
      </w:r>
    </w:p>
    <w:p>
      <w:r>
        <w:rPr>
          <w:b/>
        </w:rPr>
        <w:t>E. 4.2.1</w:t>
      </w:r>
    </w:p>
    <w:p>
      <w:r>
        <w:t>Der Untersuchungsgrundsatz gehört zu den allgemeinen Grundsätzen des Asylverfahrens (vgl. Art. 12 VwVG i.V.m. Art. 6 AsylG). Demnach hat die Behörde von Amtes wegen für die richtige und vollständige Abklärung des rechtserheblichen Sachverhaltes zu sorgen. Dieser Grundsatz gilt indes nicht uneingeschränkt; er findet seine Grenzen an der Mitwirkungspflicht des Asylsuchenden (vgl. Art. 8 AsylG).</w:t>
      </w:r>
    </w:p>
    <w:p>
      <w:r>
        <w:rPr>
          <w:b/>
        </w:rPr>
        <w:t>E. 4.2.2</w:t>
      </w:r>
    </w:p>
    <w:p>
      <w:r>
        <w:t>Gemäss Art. 29 VwVG haben die Parteien Anspruch auf rechtliches Gehör (vgl. auch Art. 29 Abs. 2 BV). Mit dem Gehörsanspruch korreliert die Pflicht der Behörde, dass sie die Vorbringen tatsächlich hört, ernsthaft prüft und in ihrer Entscheidfindung angemessen berücksichtigt.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und BVGE 2009/35 E. 6.4.1, je mit Hinweisen).</w:t>
      </w:r>
    </w:p>
    <w:p>
      <w:r>
        <w:rPr>
          <w:b/>
        </w:rPr>
        <w:t>E. 4.3</w:t>
      </w:r>
    </w:p>
    <w:p>
      <w:r>
        <w:t>Es trifft zwar zu, dass aus der Begründung der angefochtenen Verfügung (mangels entsprechender konkreter Ausführungen) nicht klar ersichtlich wird, ob beziehungsweise wie sich das BFM mit der allgemeinen La­ge und insbesondere der Situation der Kopten in Ägypten auseinandergesetzt hat. Allerdings ist grundsätzlich davon auszugehen, dass das BFM mit ihren Länderspezialisten die aktuelle Situation in Ägypten laufend überprüft und beurteilt. Wie in E. 8.2 und 8.3 nachfolgend aufgezeigt, kommt das Gericht (bezüglich der Situation der Kopten in Ägypten) denn auch zu keinem anderen Schluss als das BFM. Im Übrigen ist die Wegweisung (und deren Vollzug) die gesetzliche Folge bei einem negativen Asylentscheid und bedarf in der Regel nicht der gleichen Begründungsdichte wie der Entscheid in der Hauptfrage des Asyls (vgl. Entscheidungen und Mitteilungen der [vormaligen] Schweizerischen Asylrekurskommission [ARK] EMARK 1994 Nr. 3 E. 4c). Abgesehen davon war den Beschwerdeführenden trotz der knappen vorinstanzlichen Begründung möglich, den Entscheid sachgerecht anzufechten. Es kann somit weder eine Verletzung des Untersuchungsgrundsatzes noch der Begründungspflicht durch das BFM festgestellt werden. Der Subeventualantrag ist demzufolge abzuweisen.</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Aufgrund der Subsidiarität des flüchtlingsrechtlichen Schutzes setzt die Zuerkennung der Flüchtlingseigenschaft ausserdem voraus, dass die betroffene Person in ihrem Heimatland keinen adäquaten Schutz finden kann (vgl. BVGE 2011/51 E. 6.1, mit Hinweisen).</w:t>
      </w:r>
    </w:p>
    <w:p>
      <w:r>
        <w:rPr>
          <w:b/>
        </w:rPr>
        <w:t>E. 5.2</w:t>
      </w:r>
    </w:p>
    <w:p>
      <w:r>
        <w:t>Der Schutz vor privater Verfolgung ist als solcher ausreichend, wenn im Heimatstaat eine funktionierende und effiziente Schutzinfrastruktur zur Verfügung steht, also in erster Linie polizeiliche Aufgaben wahrnehmende Organe und ein Rechts- und Justizsystem, das eine effektive Strafverfolgung ermöglicht. Ob das bestehende Schutzsystem als in diesem Sinne effizient erachtet werden kann, hängt letztlich auch davon ab, dass der Schutz die von Verfolgung betroffene Person tatsächlich erreicht (vgl. BVGE a.a.O. E. 7.3). Die Inanspruchnahme eines solchen innerstaatlichen Schutzsystems muss dem Betroffenen einerseits objektiv zugänglich sein (unabhängig von persönlichen Merkmalen wie Geschlecht oder Zugehörigkeit zu einer ethnischen oder religiösen Minderheit); andererseits muss sie für den Schutzbedürftigen auch individuell zumutbar sein, was beispielsweise dann zu verneinen ist, wenn der Betroffene sich mit einer Strafanzeige der konkreten Gefahr weiterer (oder anderer) Verfolgungsmass­nahmen aussetzen würde. Nicht verlangt werden kann dagegen eine faktische Garantie des Schutzgewährers für langfristigen individuellen Schutz des von nichtstaatlicher Verfolgung Bedrohten. Keinem Staat gelingt es, die absolute Sicherheit aller seiner Bürger jederzeit und überall zu garantieren (vgl. BVGE 2008/5 E. 4.2).</w:t>
      </w:r>
    </w:p>
    <w:p>
      <w:r>
        <w:rPr>
          <w:b/>
        </w:rPr>
        <w:t>E. 6.1</w:t>
      </w:r>
    </w:p>
    <w:p>
      <w:r>
        <w:t>Vorab ist nach Prüfung der Akten durch das Gericht darauf hinzuweisen, dass die Vorbringen der Beschwerdeführenden - insbesondere unter Berücksichtigung der eingereichten Protokolle zu den Anzeigen - mehrere Unstimmigkeiten aufweisen (beispielsweise bezüglich ihres Wohnortes seit dem Jahr 2011). Unabhängig davon ist festzustellen, dass die geltend gemachten Vorfälle weder genügend intensiv noch gezielt gegen ihre Person gerichtet gewesen sind. Der Vorfall vom 14. Januar 2012 wurde selbst in der Beschwerde nicht (als gezielte Verfolgungsmassnahme) erwähnt. Die anderen beiden Übergriffe auf der Strasse ereigneten sich sodann am Rande von Demonstrationen (vgl. Akten BFM A 15/10 F18 und F38 f. sowie A 16/9 F28 ff.) und die Drohungen an den Wänden betrafen die Wohnung der Eltern der Beschwerdeführerin, denen die Beschwerdeführenden gemäss ihren eigenen Aussagen im vorinstanzlichen Verfahren - und entgegen dem Beschwerdevorbringen, dort wohnhaft gewesen zu sein - lediglich einen Besuch abstatteten (A 15/10 S. 3 F18; vgl. auch A 16/9 F19). Weitergehende Ausführungen zur Frage der Gezieltheit und Intensität der geltend gemachten Vorfälle sowie eine eingehende Glaubhaftigkeitsprüfung der Asylgründe erübrigen sich allerdings, da die ägyptischen Behörden im Falle der Beschwerdeführenden ohnehin als schutzfä­hig und schutz­willig zu erachten sind.</w:t>
      </w:r>
    </w:p>
    <w:p>
      <w:r>
        <w:rPr>
          <w:b/>
        </w:rPr>
        <w:t>E. 6.2</w:t>
      </w:r>
    </w:p>
    <w:p>
      <w:r>
        <w:t>Die Beschwerdeführenden haben sich nach den Vorfällen vom 14. Ja­nuar 2012, vom 14. August 2013 und vom 17. Januar 2014 an die Polizei beziehungsweise die Staatsanwaltschaft gewendet und jeweils ohne grössere Probleme eine Anzeige einreichen können. Dies sowie die Tatsache, dass zwei von ihnen angezeigte Personen verhaftet wur­den, zeigt - wie bereits vom BFM festgehalten - auf, dass der ägyptische Staat willens ist, seiner Schutzpflicht in Bezug auf die Beschwerdeführenden nachzukommen. Die Beschwerdevorbringen sind nicht geeignet, eine Änderung dieser Einschätzung zu bewirken. Beim Vorbringen, die Namen der Beschwerdeführenden seien als Anzeigeerstatter (bei den Behörden) irgendwo durchgesickert, handelt es sich um eine reine Parteibehauptung. Sodann sind die auf die Wohnungswände geschriebenen Morddrohungen entgegen der Ansicht der Beschwerdeführenden nicht geeignet, die Schutzunfähigkeit der ägyptischen Behörden zu belegen, zumal es - wie vorstehend in E. 5.2 ausgeführt - keinem Staat gelingt, die absolute Sicherheit aller seiner Bürger jederzeit und überall zu garantieren. Die Beschwerdeführenden erstatteten diesbezüglich im Übrigen keine Anzeige bei der Polizei, weshalb das Beschwerdevorbringen, sie hätten auch nach diesem Ereignis keinen Schutz durch die Polizei erhalten, ins Leere zielt.</w:t>
      </w:r>
    </w:p>
    <w:p>
      <w:r>
        <w:rPr>
          <w:b/>
        </w:rPr>
        <w:t>E. 6.3</w:t>
      </w:r>
    </w:p>
    <w:p>
      <w:r>
        <w:t>Zusammenfassend ist festzuhalten, dass die Beschwerdeführenden keine Gründe nach Art. 3 AsylG nachweisen oder glaubhaft machen konn­ten. Die weiteren Beschwerdevorbringen und der Bericht der SFH vom 8. April 2014 sind nicht geeignet, eine Änderung dieser Einschätzung zu bewirken. Das BFM hat die Asylgesuche der Beschwerdeführenden somit zu Recht abgelehnt.</w:t>
      </w:r>
    </w:p>
    <w:p>
      <w:r>
        <w:rPr>
          <w:b/>
        </w:rPr>
        <w:t>E. 7.1</w:t>
      </w:r>
    </w:p>
    <w:p>
      <w:r>
        <w:t>Lehnt das BFM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mit weiteren Hinweisen).</w:t>
      </w:r>
    </w:p>
    <w:p>
      <w:r>
        <w:rPr>
          <w:b/>
        </w:rPr>
        <w:t>E. 8.1</w:t>
      </w:r>
    </w:p>
    <w:p>
      <w:r>
        <w:t>Ist der Vollzug der Wegweisung nicht zulässig, nicht zumutbar oder nicht möglich, so regelt das BFM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mit weiteren Hinweisen).</w:t>
      </w:r>
    </w:p>
    <w:p>
      <w:r>
        <w:rPr>
          <w:b/>
        </w:rPr>
        <w:t>E. 8.2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Ägypten ist demnach unter dem Aspekt von Art. 5 AsylG rechtmässig. Sodann ergeben sich weder aus den Aussagen der Beschwer­de­füh­ren­den noch aus den Akten Anhaltspunkte dafür, dass sie für den Fall einer Ausschaffung nach Ägypten dort mit beachtlicher Wahrscheinlichkeit einer nach Art. 3 EMRK oder Art. 1 des Übereinkommens vom 10. De­zem­ber 1984 gegen Folter und andere grausame, unmenschliche oder ernied­rigende Behandlung oder Strafe (FoK, SR 0.105)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mit weiteren Hinweisen). Diese Voraussetzungen sind nicht erfüllt. Auch die allgemeine Menschenrechtssituation in Ägypten lässt den Wegweisungsvollzug zum heutigen Zeitpunkt - entgegen dem sinngemässen Beschwerdevorbringen - nicht als unzulässig erscheinen. Nach dem Gesagten ist der Vollzug der Wegweisung sowohl im Sinne der asyl- als auch der völkerrechtlichen Bestimmungen zulässig (Art. 83 Abs. 3 AuG).</w:t>
      </w:r>
    </w:p>
    <w:p>
      <w:r>
        <w:rPr>
          <w:b/>
        </w:rPr>
        <w:t>E. 8.3.1</w:t>
      </w:r>
    </w:p>
    <w:p>
      <w:r>
        <w:t>In Ägypten herrscht keine Situation allgemeiner Gewalt, weshalb in konstanter Praxis von der generellen Zumutbarkeit des Wegweisungsvollzugs dorthin ausgegangen wird (vgl. Urteile des Bundesverwaltungsgerichts D-1937/2014 vom 8. Juli 2014 E. 6.3.1 und D-1609/2014 vom 7. Juli 2014 E. 6.3.1).</w:t>
      </w:r>
    </w:p>
    <w:p>
      <w:r>
        <w:rPr>
          <w:b/>
        </w:rPr>
        <w:t>E. 8.3.2</w:t>
      </w:r>
    </w:p>
    <w:p>
      <w:r>
        <w:t>Die Beschwerdeführenden gehören - wie bereits erwähnt - der Glau­bensgemeinschaft der koptischen Christen an. Im heutigen Ägypten sind die koptischen Christen mit etwa neun Millionen Menschen eine Minderheit innerhalb der muslimischen Bevölkerungsmehrheit, die gesellschaftlichen Benachteiligungen ausgesetzt sind. Nach dem Sturz des ehemaligen Präsidenten Mohammed Mursi von der Moslembruderschaft am 3. Juli 2013 und insbesondere auch nach der mit einem grossen Blutbad verbundenen gewaltsamen Räumung von zwei Pro-Mursi-Pro­test­la­gern in Kairo am 14. Au­gust 2013 durch ägyptische Sicherheitskräfte, bei der es zur Tötung von Hunderten von Mursi-Anhängern gekommen ist, kam es auch zu einer Gewaltwelle gegenüber Christen und christlichen Einrichtungen. Grund hierfür dürfte vorab der Umstand gewesen sein, dass der Führer der koptischen Kirche, Papst Tawadros II., den Putsch noch am Tage seiner Verkündung durch General Abd al-Fattah as-Sisi, dem heutigen Präsidenten Ägyptens, öffentlich befürwortet hat, was die Kopten in der Folge aus Sicht der Moslembrüderschaft dem Vorwurf aussetzte, den Sturz von Mohammed Mursi ebenfalls gutgeheissen zu haben. Entsprechend ging auch der Grossteil der Übergriffe gegenüber Christen von radikalen Anhängern der Muslimbrüder aus. Gleichzeitig gingen die staatlichen Sicherheitskräfte in der Folge massiv gegen Anhänger dieser Organisation vor. So erklärte am 23. September 2013 ein Gericht in Kairo die Muslimbruderschaft und alle Ableger der Organisation für illegal und beschloss die Konfiszierung ihrer Vermögenswerte, was am 6. November 2013 von einem Berufungsgericht bestätigt wurde. Im Weiteren wurden in mehreren Massenprozessen zahlreiche Islamisten, darunter auch führende Mitglieder der Muslimbruderschaft, zum Tode verurteilt. Dennoch ist zu beachten, dass beide Bevölkerungsgruppen das ägyptische Nationalbewusstsein verbindet, und Muslime und Christen Seite an Seite bei der ägyptischen Revolution für Frieden und Demokratie gebetet haben. Nach dem Sturz des der Muslimbruderschaft angehörigen Präsidenten Mohammed Mursi wurde eine Übergangsregierung gebildet, wobei der geschäftsführende Ministerpräsident Hasem al-Beblawi vor allem Liberale und Experten einsetzte. Seit dem 15. Januar 2014 hat Ägypten eine neue Verfassung, welche die christliche Minderheit schützt und Ende Mai 2014 fand die Präsidentschaftswahl statt. Gewählt wurde, wie vorstehend erwähnt, der ehemalige Armeechef Abd al-Fattah as-Sisi. Die neu gebildete Regierung setzt sich gemäss Medienberichten zu zwei Dritteln aus Mitgliedern des Übergangskabinetts zusammen. Anhaltspunkte für eine Verschlechterung der Situation der Christen in Ägypten sind vor diesem Hintergrund nicht ersichtlich. Der Vollzug der Wegweisung erweist sich damit für Kopten aus Ägypten - auch unter Berücksichtigung des eingereichten Berichtes der SFH vom 8. April 2014 - nicht als generell unzumutbar.</w:t>
      </w:r>
    </w:p>
    <w:p>
      <w:r>
        <w:rPr>
          <w:b/>
        </w:rPr>
        <w:t>E. 8.3.3</w:t>
      </w:r>
    </w:p>
    <w:p>
      <w:r>
        <w:t>In den Akten finden sich sodann keine kon­kreten Anhaltspunkte dafür, dass die Beschwerdeführenden aus individuellen Grün­den wirtschaftlicher, sozialer oder gesundheitlicher Natur in eine existenz­bedrohende Situation geraten würden.</w:t>
      </w:r>
    </w:p>
    <w:p>
      <w:r>
        <w:rPr>
          <w:b/>
        </w:rPr>
        <w:t>E. 8.3.4</w:t>
      </w:r>
    </w:p>
    <w:p>
      <w:r>
        <w:t>Nach dem Gesagten erweist sich der Vollzug der Wegweisung als zumutbar (Art. 83 Abs. 4 AuG).</w:t>
      </w:r>
    </w:p>
    <w:p>
      <w:r>
        <w:rPr>
          <w:b/>
        </w:rPr>
        <w:t>E. 8.4</w:t>
      </w:r>
    </w:p>
    <w:p>
      <w:r>
        <w:t>Schliesslich verfügen die Beschwerdeführenden über gültige Reisepäs­se,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Mit dem vorliegenden Entscheid in der Hauptsache ist das Gesuch um Verzicht auf die Erhebung eines Kostenvorschusses gegenstandslos geworden.</w:t>
      </w:r>
    </w:p>
    <w:p>
      <w:r>
        <w:rPr>
          <w:b/>
        </w:rPr>
        <w:t>E. 10.2</w:t>
      </w:r>
    </w:p>
    <w:p>
      <w:r>
        <w:t>Aufgrund vorstehender Erwägungen erweisen sich die Beschwerdebegehren als aussichtslos, weshalb das Gesuch der Beschwerdeführenden um unentgeltliche Rechtspflege im Sinne von Art. 65 Abs. 1 VwVG ab­zuweisen ist. Mangels Erfüllung der Voraussetzungen von Art. 65 Abs. 1 VwVG ist das Gesuch um amtliche Verbeiständung im Sinne von Art. 110a Abs. 1 Bst. a AsylG ebenfalls abzuweisen.</w:t>
      </w:r>
    </w:p>
    <w:p>
      <w:r>
        <w:rPr>
          <w:b/>
        </w:rPr>
        <w:t>E. 10.3</w:t>
      </w:r>
    </w:p>
    <w:p>
      <w:r>
        <w:t>Bei diesem Ausgang des Verfahrens sind die Kosten den Be­schwer­de­führenden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