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D-2007/2012 vom 5. Juli 2012</w:t>
      </w:r>
    </w:p>
    <w:p>
      <w:r>
        <w:t>Bundesverwaltungsgericht, 2012-07-05, DE</w:t>
      </w:r>
    </w:p>
    <w:p>
      <w:r>
        <w:rPr>
          <w:b/>
        </w:rPr>
        <w:t xml:space="preserve">Quelle: </w:t>
      </w:r>
      <w:r>
        <w:t>https://mcp.opencaselaw.ch/entscheid/bvger_D-2007_2012</w:t>
      </w:r>
    </w:p>
    <w:p>
      <w:r>
        <w:t>FR: TAF D-2007/2012 du 5 juillet 2012</w:t>
      </w:r>
    </w:p>
    <w:p>
      <w:r>
        <w:t>IT: TAF D-2007/2012 del 5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erachtete die Ausführungen des Beschwerdeführers zu den finanziellen Verhältnissen im Zusammenhang mit dem Hauskauf für nicht nachvollziehbar. So habe der Beschwerdeführer angegeben, für den Erwerb und den Umbau des Hauses $ 85'000.00 aufgewendet zu haben, wovon $ 20'000.00 durch einen Bankkredit gedeckt gewesen seien. Als Eigenmittel habe der Beschwerdeführer den Erlös von $ 20'000.00 aus dem Verkauf seines (Geschäfts) aufgewendet. Dieser Umstand sei jedoch in der Erstanhörung (Befragung zur Person [BzP]) noch nicht erwähnt worden. Selbst wenn man vom Kaufpreis den Kredit, die Eigenmittel sowie die vom (Familienmitglied) geliehenen $ 5'000.00 in Abzug bringen würde, wären immer noch $ 40'000.00 ungedeckt. Zum Weiterverkauf habe der Beschwerdeführer den Namen des Käufers nicht nennen können, was gegen die Glaubhaftigkeit des Verkaufs spreche. Befremdend sei auch, dass der Beschwerdeführer erklärt habe, dass in seinem Land eine Veruntreuung von Vermögenswerten nicht selten sei, jedoch trotzdem sein Geld einer Bank anvertraut habe. Es erscheine auch unlogisch, dass der Beschwerdeführer sich nicht um die Wiederbeschaffung der veruntreuten Gelder gekümmert habe, zumal die Bank nach wie vor existiere. Es sei auch unglaubhaft, dass keine Dokumente bestehen würden, welche die Kontoeröffnung dokumentieren. Auch die Ausführungen, wie sein Bankbüchlein beschlagnahmt worden sei, überzeuge nicht. Obwohl er von der Staatsanwaltschaft nach dem Verbleib des Büchleins gefragt worden sei und daraufhin Angst bekommen habe, dass man es ihm wegnehmen werde, habe er keine Massnahmen unternommen, das Büchlein dem Zugriff der Behörden zu entziehen. Diese Ausführungen erwecken den Eindruck, der Beschwerdeführer stelle die Sachlage absichtlich so dar, dass keine Beweismittel mehr vorhanden seien. Im Weiteren sei auch unglaubhaft, dass dem Beschwerdeführer wegen staatskritischer Äusserungen keine Sanktionen erwachsen seien. Die diesbezügliche Erklärung des Beschwerdeführers, dass man ihn nicht ha­be festhalten können, da er nur informell telefonisch vorgeladen worden sei, könne nicht gehört werden. Da er die Kritik direkt gegenüber der Staatsanwaltschaft geäussert habe, hätte die Staatsanwaltschaft diesen Umstand zum Anlass genommen, gegen den Beschwerdeführer vorzuge­hen. Unglaubhaft seien auch die Ausführungen betreffend die Freilassung durch die Polizei nach der zweiten Festnahme. Gemäss den Angaben des Beschwerdeführers sei er entlassen worden, da er den Polizisten $ 20'000.00 versprochen habe. Da die Polizei jedoch gewusst habe, dass dem Beschwerdeführer das Guthaben auf der Bank weggenommen worden sei und sich die Polizei daher wohl bewusst gewesen sei, dass der Beschwerdeführer nicht über diese Summe verfüge und nach der Freilassung sofort untertauchen werde, zumal ihm ja auch mit Gefängnis gedroht worden sei, so erscheine die Freilassung nicht nachvollziehbar. Ein derart fahrlässiges Verhalten seitens der Polizei sei realitätsfremd. Die Ausführungen der Beschwerdeführerin B._______ (nachfolgend: die Beschwerdeführerin) zur Hausdurchsuchung und Festnahme des Beschwerdeführers, wo sie ebenfalls anwesend war, würden substanzlos ausfallen. So habe sie etwa die Beamten nicht detailliert beschreiben können. In der BzP habe sie zudem angegeben, der Beschwer­deführer sei zusammengeschlagen worden, wobei bei der Bundesanhörung lediglich ausgeführt wurde, dass er geschubst worden sei. Auf Vorhalt habe sie dann die Aussage dahingehend angepasst, dass er geschubst und geschlagen worden sei. Auch die Beschreibung der Reise und der Verbleib der Reisedokumente sei nicht glaubhaft geschildert worden. Die Aussage des Beschwerdeführers, man hätte keine gültigen Papiere beschaffen können, sei unwahr, da sie anlässlich der Registrierung der Geburt der Tochter E._______ in der La­ge gewesen seien, eine Geburtsurkunde, die Heiratsurkunde sowie Kopien der Pässe einzureichen. Betreffend die Flucht in die Schweiz erscheine es nahezu unmöglich, ohne gültige Reisepapiere von Usbekistan bis in die Schweiz zu gelangen. Auch wäre eine differenzierte Reisebeschreibung oder Ausführungen über Probleme, Hindernisse oder bemerkenswerte Ereignisse zu erwarten gewesen. Eine solch problemlos verlaufene Reise würde der allgemeinen Lebenserfahrung widersprechen. Daraus sei zu folgern, dass die Ausreise auf andere Weise und mit legalen Papieren erfolgt sei. Dafür spreche auch der Umstand, dass sich die Beschwerdeführenden kurz vor der Ausreise neue Führerscheine ausstellen liessen, was gegen ein fluchtartiges Verlassen der Heimat sprechen würde.</w:t>
      </w:r>
    </w:p>
    <w:p>
      <w:r>
        <w:rPr>
          <w:b/>
        </w:rPr>
        <w:t>E. 4.2</w:t>
      </w:r>
    </w:p>
    <w:p>
      <w:r>
        <w:t>Diesen Ausführungen des BFM wird in der Beschwerde folgendes entgegengehalten: Es sei irrelevant und unwesentlich, wie der Beschwerdeführer den Hauskauf genau finanziert habe. Aus dem Protokoll zur BzP werde ersichtlich, dass er sich nicht habe zum Betrieb und Verkauf des (Geschäfts) äussern können. Den Kauf habe er mit diesem Erlös ($ 20'000.00), dem Darlehen seines (Familienmitglieds) ($ 5'000.00), dem Kredit ($ 20'000.00) und all seinen Ersparnissen (ca. 40'000.00) getätigt. Der Kaufpreis sei im Kaufvertrag im Übrigen bewusst zu tief gehalten, um Steuern und Abgaben zu sparen. Die Staatsanwaltschaft habe in der zweiten Anhörung versucht, den Beschwerdeführer zum Schweigen zu bringen: Man habe ihn durch die Polizei verhaften lassen und zu einem "Geständnis" gezwungen. Da er sich nichts habe zuschulden kommen lassen, habe er auch keine Überlegungen angestellt, das Bankbüchlein zu verstecken. Die Haftentlassung sei nur erfolgt, weil der Beschwerdeführer ein Geständnis abgelegt und eine Bezahlung versprochen habe. In Bezug auf die Angaben der Beschwerdeführerin wird ausgeführt, dass sie durch die Razzia der Polizei überrascht und schockiert gewesen sei und das Vorgehen der Polizei daher als Gewaltakt wahrgenommen habe. Die Passkopien hätten überdies nur beschafft werden können, weil der Bruder des Beschwerdeführers in den Geschäftsunterlagen Kopien habe auffinden können, da die Originale beschlagnahmt worden seien. Entgegen den Ausführungen des BFM sei die Flucht in die Schweiz sehr beschwerlich verlaufen. Die tagelange Reise habe die Kinder müde und ungeduldig gemacht. Schliesslich sei der Sohn sogar krank geworden und nach der Ankunft in der Schweiz für zwei Tage hospitalisiert worden. Als Beweismittel mit deutscher Übersetzung wurden eine beglaubigte Ko­pie des Kaufvertrages vom (Datum), eine Kopie des Bankbüchleins, eine Kopie des Anhörungsprotokolls vom 7. August 2009, eine unterschriebene Erklärung vom 7. August 2009, die Anklageschrift vom (Datum) eingereicht. Zum Erhalt der Dokumente wird ausgeführt, dass der Beschwerdeführer aus Angst erst nach einiger Zeit mit seinem Bruder in der Heimat Kontakt aufgenommen habe. Dieser habe dann über einen Freund bei der Staatsanwaltschaft Kopien der Beweisdokumente beschaffen können.</w:t>
      </w:r>
    </w:p>
    <w:p>
      <w:r>
        <w:rPr>
          <w:b/>
        </w:rPr>
        <w:t>E. 4.3</w:t>
      </w:r>
    </w:p>
    <w:p>
      <w:r>
        <w:t>In der Vernehmlassung führt das BFM aus, dass auch die eingereichten Beweise kein schlüssiges Bild der Ausführungen des Beschwerdeführers zu liefern vermöchten. So betrage der im Kaufvertrag aufgeführte Preis für das Haus lediglich ca. $ 5'040.00. Eine derart grosse Differenz zum angeblichen tatsächlichen Kaufpreis von $ 100'000.00 (recte: $ 115'000.00; vgl. act. A20/17, F15) liesse sich nicht überzeugend damit entkräften, dass aus steuerlichen Gründen ein tieferer Preis angegeben worden sei. Gemäss den bei der Staatsanwaltschaft protokollierten Aussagen habe der Beschwerdeführer sein Geld nach mehrmaliger Intervention bei der Bank zurückerhalten. Der diesbezügliche Einwand des Beschwerdeführers, er habe diese Angaben nur unter Druck gemacht, überzeuge nicht, da sich aus der Anklage vom (Datum) ergebe, dass die Behörden gegen fehlbare Bankmitarbeiter vorgegangen seien, was auf ein korrektes staatliches Verhalten hinweise und keine Anhaltspunkte dafür liefere, dass die Bank und die Behörden gemeinsam das Geld unterschlagen wollten.</w:t>
      </w:r>
    </w:p>
    <w:p>
      <w:r>
        <w:rPr>
          <w:b/>
        </w:rPr>
        <w:t>E. 4.4</w:t>
      </w:r>
    </w:p>
    <w:p>
      <w:r>
        <w:t>Dem wird in der Replik entgegnet, dass die Angaben des Beschwerdeführers unter Druck entstanden seien und - hätte er das Geld tatsächlich zurückbekommen - ein diesbezüglicher Vermerk im Bankbüchlein eingetragen und der Beschwerdeführer auch nicht in der Anklageschrift unter den Geschädigten aufgeführt wäre. Die Behörden hätten auch nicht mit den Direktoren der Filiale der (Bank), sondern mit denjenigen des Hauptsitzes zusammengearbeitet. Diese hätten sich mittels staatlicher Hilfe und erpressten Geständnissen das Geld aneignen wollen. Da der Beschwerdeführer mit dem Bankbüchlein weiterhin beweisen könne, dass er das Geld nicht bekommen habe, sei es naheliegend, dass man ihn unter dem Vorwand seiner staatskritischen Äusserungen aus dem Weg schaffen wolle.</w:t>
      </w:r>
    </w:p>
    <w:p>
      <w:r>
        <w:rPr>
          <w:b/>
        </w:rPr>
        <w:t>E. 4.5</w:t>
      </w:r>
    </w:p>
    <w:p>
      <w:r>
        <w:t>Zusammenfassend kann an dieser Stelle festgehalten werden, dass der Beschwerdeführer als asylrelevante Verfolgung geltend macht, dass sich Beamte der Staatsanwaltschaft auf seine Kosten bereichern wollten und aus diesem Grund unter dem Vorwand der durch den Beschwerdeführer geäusserten staatskritischen Äusserungen bei einer Rückkehr direkt gegen ihn vorgehen würden und ihm somit eine lange Haftstrafe oder sogar der Tod drohe.</w:t>
      </w:r>
    </w:p>
    <w:p>
      <w:r>
        <w:rPr>
          <w:b/>
        </w:rPr>
        <w:t>E. 4.6</w:t>
      </w:r>
    </w:p>
    <w:p>
      <w:r>
        <w:t>Zu Recht weist das BFM auf gewichtige Unstimmigkeiten in den Schilderungen des Beschwerdeführers hin. Insbesondere ist kaum nachvollziehbar, wieso die Staatsanwaltschaft, die gemäss Angaben des Beschwerdeführers mit der Bank gemeinsame Sache mache, eine Anklageschrift verfasst, in welcher der Beschwerdeführer als Geschädigter aufgeführt wird, gleichzeitig aber von diesem Erklärungen erpresst, dass er nicht Geschädigter sei. Bei der - gemäss Angaben des Beschwerdeführers erpressten - Erklärung, dass er keinerlei Ansprüche gegen die Bank habe, fällt zudem auf, dass sie auf den 7. August 2009 datiert ist, gemäss eigenen Angaben jedoch im Rahmen der zweiten Festnahme (17. bis 19. Oktober 2009) erstellt worden sei. Die Darstellung der Festnahme des Beschwerdeführers am 17. Oktober 2009 wirkt zudem widersprüchlich und wenig plausibel. Gemäss den Schilderungen des Beschwerdeführers wurde er während der Festnahme bei sich zuhause nicht geschlagen (act. A9/16, F121), während die Beschwerdeführerin in der BzP von "Zusammenschlagen" sprach (act. A2/8, S. 4). Bei der Bundesanhörung sprach sie lediglich davon, dass er geschubst wurde und passte ihre Aussage auf Nachfrage dahingehend an, dass ihr Ehemann geschubst und geschlagen wurde (act. A10/9, F38 und F54). Auch die Ausführung in der Beschwerdeschrift, dass die Beschwerdeführerin die Festnahme als "Gewaltakt" wahrgenommen habe, vermögen diesen Widerspruch nicht aufzulösen. Wie bereits von der Vorinstanz ausgeführt, sind auch die Umstände der Freilassung nach der zweitägigen Haft nicht glaubhaft. Hätte die Staatsanwaltschaft den Beschwerdeführer wegen staatskritischen Äusserungen längerfristig in Haft nehmen wollen, so ist unverständlich, wieso er nach nur zwei Tagen bereits wieder entlassen wurde. Die Ausführung des Beschwerdeführers, dass ihm eine langjährige Haftstrafe drohe, ist somit nicht glaubhaft.</w:t>
      </w:r>
    </w:p>
    <w:p>
      <w:r>
        <w:rPr>
          <w:b/>
        </w:rPr>
        <w:t>E. 4.7</w:t>
      </w:r>
    </w:p>
    <w:p>
      <w:r>
        <w:t>Somit ist nicht rechtsgenüglich dargelegt, dass der Beschwerdeführer einer seiner Schilderung entsprechenden Verfolgung ausgesetzt war bzw. bei einer Rückkehr nach Usbekistan einer Verfolgung ausgesetzt wäre. Doch selbst bei einer Wahrunterstellung der Schilderungen der Beschwerdeführenden (Festnahme, Schlag auf den Kopf während des Verhörs, zweitägige Haft) sind diese zugefügten Nachteile mangels Intensität nicht asylrelevant im Sinne von Art. 3 AsylG.</w:t>
      </w:r>
    </w:p>
    <w:p>
      <w:r>
        <w:rPr>
          <w:b/>
        </w:rPr>
        <w:t>E. 5</w:t>
      </w:r>
    </w:p>
    <w:p>
      <w:r>
        <w:t>Somit kann festgehalten werden, dass die Beschwerdeführenden die Flüchtlingseigenschaft nicht erfüllen und das BFM die Asylgesuche der Beschwerdeführenden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ff.).</w:t>
      </w:r>
    </w:p>
    <w:p>
      <w:r>
        <w:rPr>
          <w:b/>
        </w:rPr>
        <w:t>E. 7.3</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8.3</w:t>
      </w:r>
    </w:p>
    <w:p>
      <w:r>
        <w:t>Da die geltend gemachte Verfolgung als unglaubhaft respektive nicht asylrelevant erachtet wird, sind auch keine Gründe ersichtlich, welche gegen die Zulässigkeit des Vollzugs sprechen könnten. Weder aus den Aussagen der Beschwerdeführenden noch aus den Akten ergeben sich mithin Anhaltspunkte dafür, dass sie für den Fall einer Ausschaffung in ihren Heimatstaat dort mit beachtlicher Wahrscheinlichkeit einer nach Art. 3 EMRK oder Art. 1 FoK verbotenen Strafe oder Behandlung ausgesetzt wären. Auch die allgemeine Menschenrechtssituation im Heimatstaat lässt den Wegweisungsvollzug zum heutigen Zeitpunkt klarerweise nicht als unzulässig erscheinen.</w:t>
      </w:r>
    </w:p>
    <w:p>
      <w:r>
        <w:rPr>
          <w:b/>
        </w:rPr>
        <w:t>E. 9.1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9.2</w:t>
      </w:r>
    </w:p>
    <w:p>
      <w:r>
        <w:t>Das BFM erachtete den Vollzug der Wegweisung als zumutbar, da die herrschende politische Situation nicht gegen eine Rückführung spräche und auch keine individuellen Unzumutbarkeitsgründe ersichtlich seien. So haben die Beschwerdeführenden den grössten Teil ihres Lebens in Usbekistan verbracht und seien mit der dortigen Lebensweise noch gut vertraut. Der Beschwerdeführer sei Akademiker und Geschäftsmann, was ei­ne wirtschaftliche Reintegration im Heimatland ermögliche.</w:t>
      </w:r>
    </w:p>
    <w:p>
      <w:r>
        <w:rPr>
          <w:b/>
        </w:rPr>
        <w:t>E. 9.3</w:t>
      </w:r>
    </w:p>
    <w:p>
      <w:r>
        <w:t>In der Beschwerde wurde vorgebracht, dass die allgemeine politische Situation und Menschenrechtslage, insbesondere der Umstand, dass konsequent gegen jegliche Opposition vorgegangen werde, gegen den Wegweisungsvollzug sprechen würde. Sobald er mit seinen Verwandten in der Heimat Kontakt aufnehmen würde, würde er auch diese einer konkreten Gefährdung aussetzen, so dass der Wegweisungsvollzug als unzumutbar zu qualifizieren sei.</w:t>
      </w:r>
    </w:p>
    <w:p>
      <w:r>
        <w:rPr>
          <w:b/>
        </w:rPr>
        <w:t>E. 9.4</w:t>
      </w:r>
    </w:p>
    <w:p>
      <w:r>
        <w:t>Wie die Vorinstanz zutreffend ausführt, verfügt der Beschwerdeführer über eine gute Ausbildung sowie eine fundierte Berufserfahrung, wodurch er in der Heimat für sich und seine Familie eine wirtschaftliche Existenz zu begründen vermag. Überdies verfügt die Familie in Usbekistan über ein tragfähiges Beziehungsnetz.</w:t>
      </w:r>
    </w:p>
    <w:p>
      <w:r>
        <w:rPr>
          <w:b/>
        </w:rPr>
        <w:t>E. 9.5</w:t>
      </w:r>
    </w:p>
    <w:p>
      <w:r>
        <w:t>Sind von einem allfälligen Wegweisungsvollzug Kinder betroffen, so ist das Kindeswohl im Rahmen der Zumutbarkeitsprüfung zu berücksichtigen. Eine Kindeswohlgefährdung wurde jedoch weder in der Beschwerde geltend gemacht, noch sind in den Akten Anhaltspunkte ersichtlich, die auf eine die Unzumutbarkeit begründende Gefährdung des Kindeswohls schliessen lassen würden.</w:t>
      </w:r>
    </w:p>
    <w:p>
      <w:r>
        <w:rPr>
          <w:b/>
        </w:rPr>
        <w:t>E. 9.6</w:t>
      </w:r>
    </w:p>
    <w:p>
      <w:r>
        <w:t>Nach dem Gesagten erweist sich der Vollzug der Wegweisung auch als zumutbar.</w:t>
      </w:r>
    </w:p>
    <w:p>
      <w:r>
        <w:rPr>
          <w:b/>
        </w:rPr>
        <w:t>E. 10</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11</w:t>
      </w:r>
    </w:p>
    <w:p>
      <w:r>
        <w:t>Zusammenfassend hat die Vorinstanz den Wegweisungsvollzug zu Recht als zulässig, zumutbar und möglich erachtet. Nach dem Gesagten fällt eine Anordnung der vorläufigen Aufnahme ausser Betracht (Art. 83 Abs. 1 - 4 AuG).</w:t>
      </w:r>
    </w:p>
    <w:p>
      <w:r>
        <w:rPr>
          <w:b/>
        </w:rPr>
        <w:t>E. 12</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13</w:t>
      </w:r>
    </w:p>
    <w:p>
      <w:r>
        <w:t>Mit Zwischenverfügung vom 23. April 2012 wurde den Beschwerdeführenden die unentgeltliche Prozessführung gewährt. Daher sind im vorliegenden Verfahren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