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D-2002/2024 vom 5. Dezember 2024</w:t>
      </w:r>
    </w:p>
    <w:p>
      <w:r>
        <w:t>Bundesverwaltungsgericht, 2024-12-05, DE</w:t>
      </w:r>
    </w:p>
    <w:p>
      <w:r>
        <w:rPr>
          <w:b/>
        </w:rPr>
        <w:t xml:space="preserve">Quelle: </w:t>
      </w:r>
      <w:r>
        <w:t>https://mcp.opencaselaw.ch/entscheid/bvger_D-2002_2024</w:t>
      </w:r>
    </w:p>
    <w:p>
      <w:r>
        <w:t>FR: TAF D-2002/2024 du 5 décembre 2024</w:t>
      </w:r>
    </w:p>
    <w:p>
      <w:r>
        <w:t>IT: TAF D-2002/2024 del 5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worden (Art. 108 Abs. 2 AsylG; Art. 105 AsylG i.V.m. Art. 37 VGG und Art. 52 Abs. 1 VwVG). Der Beschwerdeführer hat am Verfahren vor der Vorinstanz teilgenommen,</w:t>
      </w:r>
    </w:p>
    <w:p>
      <w:r>
        <w:t>D-2002/2024 Seite 7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es ziehe die Vorbringen des Beschwerdeführers hinsichtlich der Vorgeschichte mit ei- nem Kunden, der Geldzahlungen über seine Bankkonten habe laufen las- sen, der gerichtlichen Verfahren, der ihm auferlegten Haftstrafen sowie der persönlichen Konsequenzen für ihn und sein Familienleben im Grundsatz nicht in Zweifel. Es fänden sich aber keine Hinweise auf eine flüchtlings- rechtlich relevante Verfolgung gemäss Art. 3 AsylG. Er sei verurteilt wor- den, weil er Zahlungen ermöglicht habe, die gemäss der türkischen Ge- setzgebung verboten seien. Dass er geglaubt habe, die Gelder seien aus dem Verkauf einer Immobilie von F._______, entbinde weder ihn noch die</w:t>
      </w:r>
    </w:p>
    <w:p>
      <w:r>
        <w:t>D-2002/2024 Seite 8 Finanzinstitute von der Sorgfaltspflicht, verdächtige Transaktionen zu mel- den, wie es bezüglich der (…)-Bank im Urteil des Gerichts für schwere Straftaten M._______ dargelegt worden sei. Seine Unwissenheit habe viel- leicht bei der Festsetzung des Strafmasses eine Rolle gespielt, ändere aber nichts daran, dass er in der Türkei strafbare Handlungen begangen habe, für die er rechtmässig zur Rechenschaft gezogen worden sei. Auch in der Schweiz würden ihm für ähnliche Vorgänge wegen Geldwäscherei Freiheits- oder Geldstrafen drohen. Somit lasse sich auch unter diesem Aspekt nicht auf eine asylrechtlich relevante Verfolgungsmotivation schliessen. Aus der Dauer der ihm auferlegten Haftstrafen seien keine Hinweise er- sichtlich, die eine flüchtlingsrechtliche Relevanz im Hinblick auf einen rela- tiven oder absoluten Malus begründen könnten. Gemäss den Bestimmun- gen des türkischen Strafgesetzbuches (Türk Ceza Kanunu [TCK]) würden «Betrug» (Art. 157 TCK) beziehungsweise «Qualifizierter Betrug» (TCK Art. 158) mit Freiheitsstrafen von einem bis zu fünf beziehungsweise zwei bis zu zehn Jahren bestraft. Die ihm auferlegten Haftstrafen bewegten sich jeweils zwischen einem Jahr beziehungsweise zwei und vier Jahren (zu- sammen mit Geldstrafen), wobei einige der Strafen aufgrund gewisser Fak- toren (Art. 62 TCK) reduziert worden seien, so dass die türkische Justiz die persönlichen Umstände, die zu den Taten geführt hätten, teilweise berück- sichtigt hätten. Hinsichtlich der Verurteilung zu vier Jahren Haft sei ersicht- lich, dass das Gericht seine Handlungen als «Betrug» und nicht als «Qua- lifizierten Betrug» klassifiziert habe, womit ihm ein potenziell höheres Straf- mass erspart geblieben sei. Die kumulativ drohende Haftstrafe von min- destens 11 Jahren Freiheitsentzug möge seinem Gerechtigkeitsempfinden zuwiderlaufen, da alle Verurteilungen in Zusammenhang mit derselben Person stehen sollen, doch sei kein relativer oder absoluter Malus erkenn- bar, zumal er durch zweimalige Missachtung der Hafturlaubsbedingungen seine Situation selbstverschuldet erschwert habe. Die polizeilichen Gewaltexzesse bei der Festnahme des Beschwerdefüh- rers nach dem ersten Hafturlaub, von dem er nicht zurückgekehrt sei, schienen dem Umstand geschuldet zu sein, dass er ein flüchtiger Häftling gewesen sei. Die geäusserten diskriminierenden Beschimpfungen erreich- ten für sich alleine nicht die vom Asylgesetz erforderliche Intensität, um eine flüchtlingsrechtliche Relevanz begründen zu können. Ausserdem habe es sich bei den erwähnten Übergriffen um das einmalige Fehlverhal- ten einzelner Staatsbeamter gehandelt.</w:t>
      </w:r>
    </w:p>
    <w:p>
      <w:r>
        <w:t>D-2002/2024 Seite 9 Bezüglich der Anzeige wegen Kindesentführung und der familiären Prob- leme sei festzustellen, dass der Beschwerdeführer vom Vorwurf der Kin- desentführung freigesprochen und nur hinsichtlich der an seiner Exfrau be- gangenen vorsätzlichen Körperverletzung verurteilt worden sei. Seine per- sönliche Betroffenheit, dass er die Kinder seit mehreren Jahren nicht ge- sehen habe, sei plausibel, doch fehle es diesen Vorbringen an flüchtlings- rechtlicher Relevanz. Während der Anhörung vom 15. September 2023 sei der Beschwerdefüh- rer aufgefordert worden namentlich einen «e-Devlet-Auszug» und einen «UYAP-Auszug» sowie die dazugehörigen Dokumente und die erwähnten medizinischen Akten einzureichen. Seine Rechtsvertretung habe am 26. September 2023 ein Fristerstreckungsgesuch in dieser Sache einge- reicht und am 19. Oktober 2023 um Einsichtnahme in die bereits einge- reichten Dokumente gebeten. Nach dem Erhalt der vom SEM in Auftrag gegebenen Übersetzungen der Beweismittel und der Überprüfung der Ak- ten komme das SEM zum Schluss, dass die Nachreichung der ursprünglich eingeforderten Dokumente am Sachverhalt nichts Relevantes ändere. Alle Verfahren seien rechtskräftig abgeschlossen und die ihm von Polizisten zu- gefügten Verletzungen seien flüchtlingsrechtlich nicht relevant. Das SEM verzichte auf eine erneute Aufforderung zur Nachreichung der Dokumente und weise das Gesuch der Rechtsvertretung in dieser Sache ab.</w:t>
      </w:r>
    </w:p>
    <w:p>
      <w:r>
        <w:rPr>
          <w:b/>
        </w:rPr>
        <w:t>E. 4.2</w:t>
      </w:r>
    </w:p>
    <w:p>
      <w:r>
        <w:t>In der Beschwerde wird einleitend der Sachverhalt geschildert und dar- gelegt, unter welchen Voraussetzungen die Durchführung eines Strafver- fahrens flüchtlingsrechtlich relevant sein kann. Des Weiteren wird auf die Praxis des Bundesverwaltungsgerichts bezüglich Personen, die von den türkischen Behörden als Unterstützer aus ihrer Sicht terroristischer Orga- nisationen eingestuft würden, der fehlenden Unabhängigkeit türkischer Ge- richte und der gegen die Kurden gerichteten politisch motivierten Massnah- men der Regierung verwiesen. Auch wird auf die Haftbedingungen für und die Behandlung von inhaftierte(n) Kurden hingewiesen. Hinsichtlich der Si- tuation des Beschwerdeführers wird geltend gemacht, er sei an Stelle von F._______ als Täter und nicht als Tatbeteiligter verurteilt worden. Dass er wegen Betrugs und nicht wegen einer politischen Straftat wie Terrorpropa- ganda verurteilt worden sei, hänge wohl damit zusammen, dass die türki- schen Behörden an einem Ermittlungserfolg interessiert gewesen seien und die Untersuchungsergebnisse eine andere Anklage nicht gerechtfertigt hätten. Vermutungsweise habe er als «Bauernopfer» hinhalten müssen, da kein anderer Täter habe ermittelt werden können. Das Verhalten der türki- schen Polizisten bei der Personenkontrolle lege nahe, dass die nicht</w:t>
      </w:r>
    </w:p>
    <w:p>
      <w:r>
        <w:t>D-2002/2024 Seite 10 erfolgte Rückkehr aus dem Hafturlaub von ihnen als Provokation der türki- schen Behörden gewertet worden sei. Es sei davon auszugehen, dass der Beschwerdeführer während erneuter Haft mit unmenschlicher, Folter gleichkommender Behandlung rechnen müsste. Die befürchtete Länge ei- ner erneuten Inhaftierung lasse vermuten, dass sich die türkische Justiz nicht von den Vorgaben des Rechts, sondern von politischen Motiven habe leiten lassen (die ursprüngliche Haftstrafe von einem bis fünf Jahren – von der er ungefähr 18 Monate verbüsst habe –, sei nachträglich auf insgesamt elf Jahre erhöht worden). Er sei nicht aus einer Haftanstalt ausgebrochen, sondern von einem gewährten Hafturlaub nicht zurückgekehrt, weshalb ihm aus objektiver Sicht nicht der Vorwurf gemacht werden könne, er zeige ein besonders hohes Mass an krimineller Energie, was eine weitere Verur- teilung zu einer deutlich höheren Haftstrafe rechtfertigen würde. Vor dem geschilderten Hintergrund sei klar, dass er zu Recht davon ausgehe, auf- grund seiner Ethnie von den türkischen Behörden erneut nicht rechtsstaat- lich korrekt beurteilt und behandelt zu werden. Damit liege eine flüchtlings- rechtlich relevante Verfolgung vor.</w:t>
      </w:r>
    </w:p>
    <w:p>
      <w:r>
        <w:rPr>
          <w:b/>
        </w:rPr>
        <w:t>E. 4.3</w:t>
      </w:r>
    </w:p>
    <w:p>
      <w:r>
        <w:t>Das SEM führt in seiner Vernehmlassung aus, dass abgesehen vom Vorfall, bei dem der Beschwerdeführer durch die Polizei beschimpft, ge- schlagen und verletzt worden sei, keinerlei Hinweise bestünden, die an- satzweise eine flüchtlingsrechtlich relevante Motivation erkennen liessen. Die Begleitumstände der Verhaftung seien dem Verhalten einzelner Beam- ter geschuldet. Das Asylrecht diene nicht dazu, eventuell erlittenes Unrecht wiedergutzumachen. Der Beschwerdeführer habe zur verbüssten Haft kei- nerlei Angaben gemacht oder Beweismittel eingereicht, die gegen die Zu- lässigkeit beziehungsweise Zumutbarkeit der in der Türkei noch zu verbüs- senden Haft sprächen.</w:t>
      </w:r>
    </w:p>
    <w:p>
      <w:r>
        <w:rPr>
          <w:b/>
        </w:rPr>
        <w:t>E. 4.4</w:t>
      </w:r>
    </w:p>
    <w:p>
      <w:r>
        <w:t>In der Replik wird ausgeführt, das Handeln der Polizei sei grundsätzlich dem Staat zuzurechnen. Von einem dem Staat nicht zurechenbaren Fehl- verhalten könne nur dann gesprochen werden, wenn dieses vom Staat auch tatsächlich strafrechtlich verfolgt werde. Es sei bekannt, dass in der Türkei Polizeibeamte für Übergriffe auf kurdische Personen nicht bestraft würden, so dass bei polizeilichen Übergriffen nicht einfach auf das Fehl- verhalten einzelner Beamter verwiesen werden könne, um die flüchtlings- rechtliche Relevanz zu verneinen. Damit sei das Argument der Vorinstanz entkräftet und der erlittene flüchtlingsrelevante polizeiliche Übergriff als ge- wichtiges Indiz für eine zukünftige flüchtlingsrelevante Verfolgung zu wer- ten. Dem Beschwerdeführer drohe de facto eine Freiheitsstrafe von über elf Jahren, während der Strafrahmen ursprünglich ein bis fünf Jahre</w:t>
      </w:r>
    </w:p>
    <w:p>
      <w:r>
        <w:t>D-2002/2024 Seite 11 betrage. In der Schweiz werde Betrug nicht mit mehr als fünf Jahren Frei- heitsentzug bestraft (Art. 146 StGB). Die unverhältnismässig hohe Strafe könne nur durch einen asylrelevanten «Malus» erklärt werden. Ihm drohe bei einer Rückkehr in die Türkei aufgrund seiner ethnischen Zugehörigkeit eine rechtsstaatlich unverhältnismässig hohe Freiheitsstrafe. Die türki- schen Behörden seien daran interessiert, ihn zu fassen, was durch eine am 29. März 2024 erfolgte Durchsuchung des Hauses seiner Familie be- stätigt werde. Vorliegend gehe es nicht um das Wiedergutmachen erlitte- nen, sondern um die Verhinderung erneuten Unrechts. In diesem Zusam- menhang sei auf die zahlreichen Länderberichte hinzuweisen, in denen über einen Anstieg der Fälle von Folter und anderen Misshandlungen in Polizeigewahrsam und Haft in der Türkei berichtet werde.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w:t>
      </w:r>
    </w:p>
    <w:p>
      <w:r>
        <w:t>D-2002/2024 Seite 12 bedürftige, in: Uebersax/Rudin/Hugi Yar/Geiser/Vetterli [Hrsg.], Ausländer- recht, 3. aktualisierte und erweiterte Aufl. 2022, Rz. 14.42 f.]).</w:t>
      </w:r>
    </w:p>
    <w:p>
      <w:r>
        <w:rPr>
          <w:b/>
        </w:rPr>
        <w:t>E. 5.2</w:t>
      </w:r>
    </w:p>
    <w:p>
      <w:r>
        <w:t>Die Flucht vor einer rechtsstaatlich legitimen Strafverfolgung im Hei- matland bildet grundsätzlich keinen Grund für die Anerkennung der Flücht- lingseigenschaft und für die Asylgewährung. Ausnahmsweise kann die Durchführung eines Strafverfahrens wegen eines gemeinrechtlichen De- 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deswegen eine unverhältnismäs- sig hohe Strafe ausgefällt wird, wenn das Strafverfahren rechtsstaatlichen Ansprüchen klarerweise nicht zu genügen vermag oder wenn der asylsu- chenden Person in Form der Strafe oder im Rahmen der Strafverbüssung eine Verletzung fundamentaler Menschenrechte, insbesondere Folter droht (vgl. BVGE 2013/25 E. 5.1 m.w.H.).</w:t>
      </w:r>
    </w:p>
    <w:p>
      <w:r>
        <w:rPr>
          <w:b/>
        </w:rPr>
        <w:t>E. 6.1</w:t>
      </w:r>
    </w:p>
    <w:p>
      <w:r>
        <w:t>Der Beschwerdeführer wurde vom (…) Gericht für schwere Strafsa- chen in I._______ mit Urteil vom 22. Februar 2022 wegen Betrugs (Delikts- datum: 3. Juli 2015) zu einer Gefängnisstrafe von 1 Jahr und 8 Monaten sowie einer Geldstrafe von 8320 Türkischen Lira (TL) verurteilt. Vom Ge- richt für schwere Strafsachen in M._______ wurde er mit Urteil vom 8. Ja- nuar 2020 wegen Betrugs (Deliktsdatum: 5. November 2015) zu einer Ge- fängnisstrafe von 2 Jahren und einer Geldstrafe von 2000 TL verurteilt. Das (…) Gericht für schwere Strafsachen in J._______ verurteilte ihn mit Urteil von 17. September 2019 wegen Betrugs (Deliktsdatum: 13. Oktober 2015) zu einer Gefängnisstrafe von 4 Jahren und einer Geldstrafe von 60 000 TL. Mit Urteil vom 23. Januar 2019 wurde er vom (…) Gericht für schwere Strafsachen in K._______ wegen Betrugs (Deliktsdatum: 11. Ja- nuar 2016) zu einer Gefängnisstrafe von 1 Jahr und 10 Monaten sowie ei- ner Geldstrafe von 5000 TL verurteilt. Das Gericht für schwere Strafsachen in L._______ verurteilte ihn mit Urteil vom 27. November 2018 wegen Be- trugs zu einer Gefängnisstrafe von 10 Monaten und einer Geldstrafe von 80 TL.</w:t>
      </w:r>
    </w:p>
    <w:p>
      <w:r>
        <w:t>D-2002/2024 Seite 13 Wegen der ihm angelasteten Betrugsdelikte wurde er somit insgesamt zu</w:t>
      </w:r>
    </w:p>
    <w:p>
      <w:r>
        <w:rPr>
          <w:b/>
        </w:rPr>
        <w:t>E. 6.2</w:t>
      </w:r>
    </w:p>
    <w:p>
      <w:r>
        <w:t>Das (…) Erstinstanzliche Strafgericht in H._______ verurteilte den Be- schwerdeführer mit Urteil vom 30. Dezember 2022 wegen vorsätzlicher Körperverletzung (Deliktsdatum 26. August 2019) – begangen an seiner Ex-Frau – zu einer Gefängnisstrafe von 4 Monaten und 15 Tagen. Vom Vorwurf der Kindesentführung und Freiheitsberaubung wurde er freige- sprochen. Der vom Beschwerdeführer geschilderte Grund für seine Verur- teilung – er habe seine Tochter O._______ ins Einkaufszentrum zum Mc Donalds mitgenommen – steht mithin nicht in Einklang mit dem von ihm eingereichten Urteil.</w:t>
      </w:r>
    </w:p>
    <w:p>
      <w:r>
        <w:rPr>
          <w:b/>
        </w:rPr>
        <w:t>E. 6.3</w:t>
      </w:r>
    </w:p>
    <w:p>
      <w:r>
        <w:t>Wie bereits vorstehend dargelegt wurde (vgl. E. 5.2), bildet die Flucht vor einer Strafverfolgung beziehungsweise dem Vollzug verhängter Frei- heitsstrafen auch im Kontext der Türkei nicht per se einen Grund für die Anerkennung als Flüchtling. Bei den vorliegend in Frage stehenden Straf- taten (Betrug und Körperverletzung) handelt es sich um gemeinrechtliche Delikte, die auch in der Schweiz geahndet würden. Allein der Umstand, dass der Beschwerdeführer in mehreren Strafverfahren in der Türkei auf- grund der von den Geschädigten erstatteten Anzeigen und den von den Strafverfolgungsbehörden durchgeführten Ermittlungen zu Freiheitsstrafen verurteilt wurde, begründet kein Risikoprofil, wonach er bei einer Rückkehr in sein Heimatland mit beachtlicher Wahrscheinlichkeit asylrechtlich rele- vante Nachteile zu befürchten hätte. Konkrete Anhaltspunkte für das Vor- liegen von Unregelmässigkeiten in besagten Strafverfahren lassen sich den Akten nicht entnehmen. Der Hinweis in der Beschwerde auf das ins- gesamt hoch erscheinende Strafmass lässt nicht auf einen Politmalus schliessen und auch den in diesem Zusammenhang eingereichten Beweis- mitteln lassen sich keine Anhaltspunkte dafür entnehmen, dass die türki- schen Gerichte den Beschwerdeführer aufgrund von flüchtlingsrechtlich re- levanten Gründen verurteilt beziehungsweise ein höheres Strafmass be- stimmt hätten. Die Aussage des Beschwerdeführers, er habe erfahren, dass die Überweisungen auf sein Konto im Namen von Terrororganisatio- nen erfolgt seien (vgl. SEM-act. […]-14/16 F78 S. 9 oben und F81), findet in den Akten keine Stütze. Hätten die türkischen Strafverfolgungsbehörden Hinweise darauf gehabt, dass er Verbindungen zu aus ihrer Sicht staats- feindlichen Organisationen gehabt hätte, hätten sie ihre Ermittlungen mit hoher Wahrscheinlichkeit in diese Richtung ausgedehnt. Auch sonst liegen keine Hinweise vor, aufgrund derer sich der Schluss aufdrängen würde,</w:t>
      </w:r>
    </w:p>
    <w:p>
      <w:r>
        <w:t>D-2002/2024 Seite 14 den Strafverfahren lägen flüchtlingsrechtlich relevante Verfolgungsmotive gemäss Art. 3 Abs. 1 AsylG (Rasse, Religion, Nationalität, Zugehörigkeit zu einer bestimmten sozialen Gruppe oder politische Anschauung des Be- schwerdeführers) zugrunde.</w:t>
      </w:r>
    </w:p>
    <w:p>
      <w:r>
        <w:rPr>
          <w:b/>
        </w:rPr>
        <w:t>E. 6.4</w:t>
      </w:r>
    </w:p>
    <w:p>
      <w:r>
        <w:t>Dem Beschwerdeführer wurde gemäss eigenen Aussagen von den tür- kischen Strafvollzugsbehörden zweimal Hafturlaub gewährt. Zwei Monate nachdem er 2018 die Verbüssung der Freiheitsstrafe angetreten habe, sei ihm ein einwöchiger Hafturlaub gewährt worden, aus dem er nicht zurück- gekehrt sei. Am 29. August 2019 sei er nach einer Polizeikontrolle zurück ins Gefängnis gebracht worden, wo er bis zum 11. Oktober 2020 gewesen sei. An diesem Datum habe er den zweiten Hafturlaub angetreten, aus dem er wiederum nicht zurückgekehrt sei (vgl. SEM-act. […]-14/16 F90). Ob- wohl er aus dem ersten Hafturlaub nicht zurückgekehrt war, wurde ihm zu einem späteren Zeitpunkt ein zweiter gewährt. Wäre er aus flüchtlings- rechtlich relevanten Gründen bestraft und inhaftiert worden, hätten ihm die Strafvollzugsbehörden mit hoher Wahrscheinlichkeit keine Hafturlaube ge- währt, da sie mit seiner Flucht hätten rechnen müssen.</w:t>
      </w:r>
    </w:p>
    <w:p>
      <w:r>
        <w:rPr>
          <w:b/>
        </w:rPr>
        <w:t>E. 6.5</w:t>
      </w:r>
    </w:p>
    <w:p>
      <w:r>
        <w:t>In der Beschwerde wird auf die harten Haftbedingungen in türkischen Gefängnissen hingewiesen. Dass die Haftbedingungen in türkischen Ge- fängnissen strenger sein können als in schweizerischen Haftanstalten kann ohne Weiteres angenommen werden. Der Beschwerdeführer machte in der Anhörung indessen nicht geltend, er sei während seiner Haft auf- grund seiner ethnischen Zugehörigkeit anders behandelt worden, als die übrigen Strafgefangenen. Auch in dieser Hinsicht bestehen keine Anhalts- punkte dafür, dass er von den türkischen Behörden aufgrund seiner kurdi- schen Ethnie schlechter behandelt wurde, als Strafgefangene türkischer Ethnie.</w:t>
      </w:r>
    </w:p>
    <w:p>
      <w:r>
        <w:rPr>
          <w:b/>
        </w:rPr>
        <w:t>E. 6.6</w:t>
      </w:r>
    </w:p>
    <w:p>
      <w:r>
        <w:t>In der Replik wird geltend gemacht, das aktuelle Interesse des türki- schen Staats an der Verfolgung des Beschwerdeführers könne durch die Einreichung von drei Videos untermauert werden. Auf diesen sei zu sehen, wie die türkische Polizei auf der Suche nach ihm das Haus seiner Familie durchsucht habe. Die Hausdurchsuchung habe am 29. März 2024 um 5 Uhr morgens stattgefunden. Bereits in der Anhörung vom 17. August 2023 erwähnte der Beschwerdeführer, dass die Polizei auf der Suche nach ihm um 5 Uhr morgens zu seiner Mutter gekommen sei (vgl. SEM-act. […]- 14/16 F78 S. 10).</w:t>
      </w:r>
    </w:p>
    <w:p>
      <w:r>
        <w:t>D-2002/2024 Seite 15 Auf den eingereichten Videosequenzen (Video 2: 5 Sek., Videos 3 und 4: je 13 Sek.) sind Männer in Polizeiwesten und Männer in Zivil zu sehen. Zwei Männer beschäftigen sich mit einer Schranktüre, einer öffnet mehrere Küchenschränke, einer notiert etwas. Ob es sich um die Wohnung der El- tern des Beschwerdeführers handelt und dort nach seiner Person gesucht wird, steht nicht fest. Es ist jedenfalls nicht anzunehmen, dass der Mann, der die Küchenschränke (oben an den Küchenapparaten) kurz öffnet, dort nach einer Person sucht. Unbesehen der Frage des Beweiswerts der ein- gereichten Aufnahmen würde es nicht erstaunen, wenn die türkische Poli- zei den Beschwerdeführer bei seinen Verwandten suchen würde, ist er doch aus einem Hafturlaub nicht zurückgekehrt und hat eine Reststrafe zu verbüssen. Die behördliche Suche nach ihm wäre aus diesem Grund flüchtlingsrechtlich nicht relevant.</w:t>
      </w:r>
    </w:p>
    <w:p>
      <w:r>
        <w:rPr>
          <w:b/>
        </w:rPr>
        <w:t>E. 6.7</w:t>
      </w:r>
    </w:p>
    <w:p>
      <w:r>
        <w:t>Der Beschwerdeführer machte bei der Anhörung geltend, er sei eines nachts mit dem Auto unterwegs gewesen. Um vier Uhr sei er in eine Poli- zeikontrolle geraten. Man habe nach seiner Identitätskarte gefragt und ge- sehen, dass er eine «bestätigte Strafe» gehabt habe. Drei Polizisten hätten ihn geschlagen und ihm das Bein gebrochen. Er habe ins (…) gehen müs- sen, wo er zweimal operiert worden sei (vgl. SEM-act. […]-14/16 F7 S. 9 und F90). Auf dem vom Beschwerdeführer eingereichten Video 1 (Dauer: 1 Min.) sind zwei Männer in gelben Polizeiwesten (Aufschrift: Trafik Polisi) zu sehen, die hinter einer Leitplanke (wohl auf einem Gehweg) einer stark befahre- nen Strasse stehen. Aufgrund ihres Verhaltens ist davon auszugehen, dass jemand hinter der Leitplanke am Boden sitzt. Später fährt ein Wagen mit Blinklichtern dazu, ein Mann in schwarzer Polizeiuniform (Aufschrift: Polis) und ein Mann in Zivil steigen aus. Sie helfen dem am Boden sitzenden Mann auf die Beine, dieser humpelt und setzt sich erneut auf den Boden. Auf dem Video ist nicht ersichtlich, dass der offenbar an einem Bein ver- letzte Mann von den vier Männern misshandelt wird. Die Videoaufnahmen müssen von der gegenüberliegenden Strassenseite aus gemacht worden sein. Dem Beschwerdeführer gelingt es nicht, mit der eingereichten Videoauf- nahme zu belegen, dass er von Polizisten misshandelt wurde. Wie sich der hinter der Leitplanke sitzende Mann die Verletzung am Bein zuzog, ist nicht erstellt. Das Bundesverwaltungsgericht teilt mithin die in der Beschwerde vertretene Auffassung, dass der Beschwerdeführer «nachweislich von Mit- gliedern der türkischen Behörden im Rahmen einer Personenkontrolle</w:t>
      </w:r>
    </w:p>
    <w:p>
      <w:r>
        <w:t>D-2002/2024 Seite 16 zuerst erniedrigt und anschliessend derart geschlagen wurde, dass sein Schienbein brach», aufgrund des Gesagten nicht. Bei der Anhörung gab der Beschwerdeführer an, Freunde von ihm seien dabei gewesen, als er in besagte Kontrolle gekommen sei. Diese hätten das Video aufgenommen (vgl. SEM-act. […]-14/16 F105). Da die Videoaufnahme von der gegen- überliegenden Strassenseite aus gemacht wurde und auf der Strassen- seite, wo ein Mann hinter der Leitplanke sitzt, zuerst weder ein Polizeifahr- zeug noch ein anderer Wagen erkennbar ist, stellt sich die Frage, weshalb die kontrollierte Person auf der anderen Strassenseite sitzt, als sich deren Freunde, die mit ihm unterwegs gewesen seien, befinden. Aufgrund des Gesamtbildes erscheint es durchaus möglich, dass sich die hinter der Leit- planke sitzende Person (z.B. bei einem Fluchtversuch) selbst verletzte. Selbst wenn der Beschwerdeführer bei einer Fahrzeug- und Personen- kontrolle von Polizisten verletzt worden wäre, als sie bemerkten, dass er ein flüchtiger Häftling war, bestehen keine konkreten Anhaltspunkte für ein ernsthaftes und gezieltes flüchtlingsrechtlich relevantes Verfolgungs- interesse der türkischen Behörden an ihm. Es ist nicht mit hinreichender Wahrscheinlichkeit anzunehmen, dass er bei einer Überstellung an die Strafvollzugsbehörden eine nochmalige Misshandlung von vergleichbarer Intensität erleiden würde.</w:t>
      </w:r>
    </w:p>
    <w:p>
      <w:r>
        <w:rPr>
          <w:b/>
        </w:rPr>
        <w:t>E. 6.8</w:t>
      </w:r>
    </w:p>
    <w:p>
      <w:r>
        <w:t>Zusammenfassend ist festzuhalten, dass es dem Beschwerdeführer nicht gelungen ist, eine im Sinne von Art. 3 AsylG relevante Verfolgung be- ziehungsweise Verfolgungsgefahr nachzuweisen oder glaubhaft zu ma- chen. Das SEM hat folglich zu Recht die Flüchtlingseigenschaft des Be- schwerdeführers verneint und sein Asylgesuch abgelehnt. 7. 7.1 Lehnt das SEM das Asylgesuch ab, so verfügt es in der Regel die Weg- weisung aus der Schweiz und ordnet den Vollzug an; es berücksichtigt da- 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w:t>
      </w:r>
    </w:p>
    <w:p>
      <w:r>
        <w:t>D-2002/2024 Seite 17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In der Beschwerde wird geltend gemacht, der Beschwerdeführer sei von Polizisten im Rahmen einer Personenkontrolle erniedrigt und schwer misshandelt worden. Selbst wenn man davon ausginge, diese hätten aus Notwehr gehandelt, wäre deren Vorgehen mit grosser Wahrscheinlichkeit als strafbarer Notwehrexzess zu werten. Irrelevant sei, dass das SEM ver- mute, es handle sich um die Tat einzelner fehlbarer Beamter und nicht um eine verbreitete Praxis der türkischen Behörden. Er sei von uniformierten Polizisten gefoltert worden. Dies sei dem türkischen Staat anzurechnen, der verpflichtet gewesen wäre, mit entsprechenden rechtlichen Mitteln vor- zugehen. Er sei als Folteropfer zu qualifizieren und es bestehe die Gefahr, dass er auch zukünftig der Folter oder unmenschlicher Behandlung ausge- setzt werde. Der Beschwerdeführer habe bis zum Haftantritt einen (…) geführt, den er aus wirtschaftlichen Gründen unter Wert habe verkaufen müssen. Den grössten Teil des Erlöses habe er für die Reise nach Westeuropa ausge- geben. 2018 sei seine Ehe geschieden worden, seine Ex-Frau habe das alleinige Sorgerecht für die beiden Töchter zugesprochen erhalten. Er sei heute noch verpflichtet, Kindesunterhalt zu bezahlen. Zurzeit lebe er von der indirekten finanziellen Unterstützung des Schweizer Staates. Aufgrund seiner Verurteilungen sei er nicht mehr in der Lage, sich in der Türkei «so- zialversichert» anstellen zu lassen. Als ehemaliger Häftling werde er auf dem türkischen Arbeitsmarkt kaum Chancen haben. Seine Verwandten wä- ren nicht in der Lage, ihn im Falle einer Rückkehr in die Heimat in nennens- werter Weise zu unterstützen. 8.3 8.3.1 Der Vollzug ist nicht zulässig, wenn völkerrechtliche Verpflichtungen der Schweiz einer Weiterreise der Ausländerin oder des Ausländers in den Heimat-, Herkunfts- oder einen Drittstaat entgegenstehen (Art. 83 Abs. 3 AIG).</w:t>
      </w:r>
    </w:p>
    <w:p>
      <w:r>
        <w:t>D-2002/2024 Seite 18 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8.3.3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8.3.4 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8.3.5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Unter Hinweis auf die vorstehenden Erwägungen zur Flüchtlingseigenschaft (vgl. E. 6), ge- lingt ihm dies nicht. Er machte in der Anhörung nicht geltend, er sei wäh- rend der Haftverbüssung gefoltert oder in anderer Weise unmenschlich be- handelt worden. Den Akten sind keine Hinweise darauf zu entnehmen, dass er während der weiteren Verbüssung der gegen ihn ausgesproche- nen Gefängnisstrafen einer unmenschlichen Behandlung ausgesetzt wird. Auch die allgemeine Menschenrechtssituation in der Türkei lässt den Weg- weisungsvollzug zum heutigen Zeitpunkt nicht als unzulässig erscheinen.</w:t>
      </w:r>
    </w:p>
    <w:p>
      <w:r>
        <w:t>D-2002/2024 Seite 19 8.3.6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Auch unter Berücksichtigung des Wiederaufflammens des türkisch- kurdischen Konflikts sowie der bewaffneten Auseinandersetzungen zwi- schen PKK (Partiya Karkeren Kurdistan) und staatlichen Sicherheitskräften seit Juli 2015 in verschiedenen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in der gesamten Türkei auszugehen (vgl. Urteile des BVGer E-7253/2023 vom 19. Februar 2024 E. 8.4.1, E-6998/2023 vom 15. Februar 2024 E. 8.4, D-2850/2020 vom 23. Januar 2024 E. 7.3.1, D-4333/2023 vom 19. Januar 2024 E. 9.3.1 und D-6226/2023 vom 18. Januar 2024 E. 8.3.2, je m.w.H.). 8.4.3 Der Beschwerdeführer wuchs eigenen Angaben gemäss in der Pro- vinz C._______ auf, besuchte dort die Schulen, erlernte den Beruf eines (…) und führte mehrere Jahre lang einen eigenen (…). Aufgrund vorste- hender Erwägungen ist nicht davon auszugehen, dass er im Rahmen der Verbüssung der gegen ihn ausgesprochenen Gefängnisstrafen einer kon- kreten Gefährdung ausgesetzt ist. Wie seine beruflichen und gesellschaft- lichen Perspektiven nach der Verbüssung der Freiheitsstrafen aussehen, kann derzeit nicht verbindlich abgeschätzt werden. Angesichts seiner be- ruflichen Ausbildung und Berufserfahrung sowie des vorhandenen familiä- ren Beziehungsnetzes ist indessen nicht davon auszugehen, dass er in eine existenzbedrohende Situation geraten wird. 8.4.4 Der Vollzug der Wegweisung erweist sich vor diesem Hintergrund nicht als unzumutbar. 8.5 Schliesslich obliegt es dem Beschwerdeführer, sich bei der zuständi- gen Vertretung des Heimatstaates die für eine Rückkehr notwendigen</w:t>
      </w:r>
    </w:p>
    <w:p>
      <w:r>
        <w:t>D-2002/2024 Seite 20 Reisedokumente zu beschaffen (vgl. Art. 8 Abs. 4 AsylG und dazu auch BVGE 2008/34 E. 12), weshalb der Vollzug der Wegweisung auch als mög- lich zu bezeichnen ist (Art. 83 Abs. 2 AIG). 8.6 Zusammenfassend hat das SEM den Wegweisungsvollzug zu Recht als zulässig, zumutbar und möglich bezeichnet. Eine Anordnung der vor- läufigen Aufnahme fällt somit ausser Betracht (Art. 83 Abs. 1–4 AIG). 9. 9.1 In der Beschwerde wird der Schluss gezogen, der Sachverhalt sei als erstellt zu erachten, weshalb der Beschwerdeführer als Flüchtling anzuer- kennen sei. Sollte das Bundesverwaltungsgericht zum Schluss kommen, das SEM habe in Verletzung des Untersuchungsgrundsatzes den Sachver- halt nicht genügend ermittelt, um seine Flüchtlingseigenschaft anzuerken- nen, werde subsubeventualiter beantragt, die Sache sei zur rechtsgenüg- lichen Sachverhaltsabklärung und Neubeurteilung an das SEM zurückzu- weisen. 9.2 Das Bundesverwaltungsgericht gelangt aufgrund der Anhörung des Beschwerdeführers, der Ausführungen in den Eingaben und den im Rah- men des Beschwerdeverfahrens eingereichten Beweismitteln zur Auffas- sung, dass der rechtserhebliche Sachverhalt erstellt ist. Der Umstand, dass das SEM den Sachverhalt nicht in der vom Beschwerdeführer erhofften Weise würdigte, beruht nicht auf einem nicht rechtsgenüglich erstellten Sachverhalt, weshalb der Antrag, die Sache sei an das SEM zurückzuwei- sen, abzuweisen ist.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der Beschwerde wird geltend gemacht, der Beschwerdeführer sei von Polizisten im Rahmen einer Personenkontrolle erniedrigt und schwer misshandelt worden. Selbst wenn man davon ausginge, diese hätten aus Notwehr gehandelt, wäre deren Vorgehen mit grosser Wahrscheinlichkeit als strafbarer Notwehrexzess zu werten. Irrelevant sei, dass das SEM vermute, es handle sich um die Tat einzelner fehlbarer Beamter und nicht um eine verbreitete Praxis der türkischen Behörden. Er sei von uniformierten Polizisten gefoltert worden. Dies sei dem türkischen Staat anzurechnen, der verpflichtet gewesen wäre, mit entsprechenden rechtlichen Mitteln vorzugehen. Er sei als Folteropfer zu qualifizieren und es bestehe die Gefahr, dass er auch zukünftig der Folter oder unmenschlicher Behandlung ausgesetzt werde. Der Beschwerdeführer habe bis zum Haftantritt einen (...) geführt, den er aus wirtschaftlichen Gründen unter Wert habe verkaufen müssen. Den grössten Teil des Erlöses habe er für die Reise nach Westeuropa ausgegeben. 2018 sei seine Ehe geschieden worden, seine Ex-Frau habe das alleinige Sorgerecht für die beiden Töchter zugesprochen erhalten. Er sei heute noch verpflichtet, Kindesunterhalt zu bezahlen. Zurzeit lebe er von der indirekten finanziellen Unterstützung des Schweizer Staates. Aufgrund seiner Verurteilungen sei er nicht mehr in der Lage, sich in der Türkei «sozialversichert» anstellen zu lassen. Als ehemaliger Häftling werde er auf dem türkischen Arbeitsmarkt kaum Chancen haben. Seine Verwandten wären nicht in der Lage, ihn im Falle einer Rückkehr in die Heimat in nennenswerter Weise zu unterstützen.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Unter Hinweis auf die vorstehenden Erwägungen zur Flüchtlingseigenschaft (vgl. E. 6), gelingt ihm dies nicht. Er machte in der Anhörung nicht geltend, er sei während der Haftverbüssung gefoltert oder in anderer Weise unmenschlich behandelt worden. Den Akten sind keine Hinweise darauf zu entnehmen, dass er während der weiteren Verbüssung der gegen ihn ausgesprochenen Gefängnisstrafen einer unmenschlichen Behandlung ausgesetzt wird. Auch die allgemeine Menschenrechtssituation in der Türkei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türkisch-kurdischen Konflikts sowie der bewaffneten Auseinandersetzungen zwischen PKK (Partiya Karkeren Kurdistan) und staatlichen Sicherheitskräften seit Juli 2015 in verschiedenen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in der gesamten Türkei auszugehen (vgl. Urteile des BVGer E-7253/2023 vom 19. Februar 2024 E. 8.4.1, E-6998/2023 vom 15. Februar 2024 E. 8.4, D-2850/2020 vom 23. Januar 2024 E. 7.3.1, D-4333/2023 vom 19. Januar 2024 E. 9.3.1 und D-6226/2023 vom 18. Januar 2024 E. 8.3.2, je m.w.H.).</w:t>
      </w:r>
    </w:p>
    <w:p>
      <w:r>
        <w:rPr>
          <w:b/>
        </w:rPr>
        <w:t>E. 8.4.3</w:t>
      </w:r>
    </w:p>
    <w:p>
      <w:r>
        <w:t>Der Beschwerdeführer wuchs eigenen Angaben gemäss in der Provinz C._______ auf, besuchte dort die Schulen, erlernte den Beruf eines (...) und führte mehrere Jahre lang einen eigenen (...). Aufgrund vorstehender Erwägungen ist nicht davon auszugehen, dass er im Rahmen der Verbüssung der gegen ihn ausgesprochenen Gefängnisstrafen einer konkreten Gefährdung ausgesetzt ist. Wie seine beruflichen und gesellschaftlichen Perspektiven nach der Verbüssung der Freiheitsstrafen aussehen, kann derzeit nicht verbindlich abgeschätzt werden. Angesichts seiner beruflichen Ausbildung und Berufserfahrung sowie des vorhandenen familiären Beziehungsnetzes ist indessen nicht davon auszugehen, dass er in eine existenzbedrohende Situation geraten wird.</w:t>
      </w:r>
    </w:p>
    <w:p>
      <w:r>
        <w:rPr>
          <w:b/>
        </w:rPr>
        <w:t>E. 8.4.4</w:t>
      </w:r>
    </w:p>
    <w:p>
      <w:r>
        <w:t>Der Vollzug der Wegweisung erweist sich vor diesem Hintergrund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vorläufigen Aufnahme fällt somit ausser Betracht (Art. 83 Abs. 1-4 AIG).</w:t>
      </w:r>
    </w:p>
    <w:p>
      <w:r>
        <w:rPr>
          <w:b/>
        </w:rPr>
        <w:t>E. 9.1</w:t>
      </w:r>
    </w:p>
    <w:p>
      <w:r>
        <w:t>In der Beschwerde wird der Schluss gezogen, der Sachverhalt sei als erstellt zu erachten, weshalb der Beschwerdeführer als Flüchtling anzuerkennen sei. Sollte das Bundesverwaltungsgericht zum Schluss kommen, das SEM habe in Verletzung des Untersuchungsgrundsatzes den Sachverhalt nicht genügend ermittelt, um seine Flüchtlingseigenschaft anzuerkennen, werde subsubeventualiter beantragt, die Sache sei zur rechtsgenüglichen Sachverhaltsabklärung und Neubeurteilung an das SEM zurückzuweisen.</w:t>
      </w:r>
    </w:p>
    <w:p>
      <w:r>
        <w:rPr>
          <w:b/>
        </w:rPr>
        <w:t>E. 9.2</w:t>
      </w:r>
    </w:p>
    <w:p>
      <w:r>
        <w:t>Das Bundesverwaltungsgericht gelangt aufgrund der Anhörung des Beschwerdeführers, der Ausführungen in den Eingaben und den im Rahmen des Beschwerdeverfahrens eingereichten Beweismitteln zur Auffassung, dass der rechtserhebliche Sachverhalt erstellt ist. Der Umstand, dass das SEM den Sachverhalt nicht in der vom Beschwerdeführer erhofften Weise würdigte, beruht nicht auf einem nicht rechtsgenüglich erstellten Sachverhalt, weshalb der Antrag, die Sache sei an das SEM zurückzuweisen, abzuweisen ist.</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 führer aufzuerlegen (Art. 63 Abs. 1 VwVG). Da ihm mit Instruktionsverfü- gung vom 10. April 2024 die unentgeltliche Rechtspflege gewährt wurde und sich an den Voraussetzungen dazu nichts geändert hat, sind keine Verfahrenskosten zu erheben.</w:t>
      </w:r>
    </w:p>
    <w:p>
      <w:r>
        <w:rPr>
          <w:b/>
        </w:rPr>
        <w:t>E. 12.1</w:t>
      </w:r>
    </w:p>
    <w:p>
      <w:r>
        <w:t>Mit derselben Verfügung wurde das Gesuch um amtliche Verbeistän- dung gutgeheissen und dem Beschwerdeführer MLaw Samuel Domenech</w:t>
      </w:r>
    </w:p>
    <w:p>
      <w:r>
        <w:t>D-2002/2024 Seite 21 (Rechtsanwalt) als amtlicher Rechtsbeistand beigeordnet. Dieser wurde mit Instruktionsverfügung vom 6. August 2024 aus seinem amtlichen Man- dat entlassen und dem Beschwerdeführer wurde MLaw Gianluca Schlagin- haufen als neuer amtlicher Rechtsbeistand beigegeben. Im Gesuch um Entlassung aus dem amtlichen Mandat vom 31. Juli 2024 wurde darauf hingewiesen, dass das bereits aufgelaufene amtliche Honorar nach Ab- schluss des Verfahrens an die neu eingesetzte Rechtsvertretung ausge- richtet werden könne. Das amtliche Honorar für die notwendigen Aufwen- dungen im Beschwerdeverfahren ist somit MLaw Gianluca Schlaginhaufen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und von Fr. 100.– bis Fr. 150.– für nicht-anwaltliche Ver- treterinnen und Vertreter ausgeht (Art. 12 i.V.m. Art. 10 Abs. 2 VGKE).</w:t>
      </w:r>
    </w:p>
    <w:p>
      <w:r>
        <w:rPr>
          <w:b/>
        </w:rPr>
        <w:t>E. 12.3</w:t>
      </w:r>
    </w:p>
    <w:p>
      <w:r>
        <w:t>Vorliegend wurde mit der Beschwerde eine vom 2. April 2024 datie- rende «provisorische Kostennote» eingereicht, in der ein zeitlicher Auf- wand von 10 Stunden à Fr. 220.– (Fr. 2200.–), Kosten für den Dolmetscher von Fr. 150.– und Spesen von Fr. 40.– (zusätzlich Mehrwertsteuer von 8.1 %) geltend gemacht werden. Die Kostennote erscheint hinsichtlich des veranschlagten zeitlichen Aufwands und der Auslagen angemessen. Der Aufwand für das Verfassen der Replik und die Verfahrensstandanfrage ist von Amtes wegen festzulegen. Das vom Bundesverwaltungsgericht auszu- richtende amtliche Honorar ist daher auf gerundet insgesamt Fr. 2725.– (inkl. Auslagen und Mehrwertsteuerzuschlag) festzusetzen. (Dispositiv nächste Seite)</w:t>
      </w:r>
    </w:p>
    <w:p>
      <w:r>
        <w:t>D-2002/2024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