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D-1/2008 vom 26. Februar 2010</w:t>
      </w:r>
    </w:p>
    <w:p>
      <w:r>
        <w:t>Bundesverwaltungsgericht, 2010-02-26, DE</w:t>
      </w:r>
    </w:p>
    <w:p>
      <w:r>
        <w:rPr>
          <w:b/>
        </w:rPr>
        <w:t xml:space="preserve">Quelle: </w:t>
      </w:r>
      <w:r>
        <w:t>https://mcp.opencaselaw.ch/entscheid/bvger_D-1_2008</w:t>
      </w:r>
    </w:p>
    <w:p>
      <w:r>
        <w:t>FR: TAF D-1/2008 du 26 février 2010</w:t>
      </w:r>
    </w:p>
    <w:p>
      <w:r>
        <w:t>IT: TAF D-1/2008 del 26 febbraio 2010</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(Art. 105 AsylG; Art. 83 Bst. d Ziff. 1 des Bundesgerichtsgesetzes vom 17. Juni 2005 [BGG, SR 173.110]).</w:t>
      </w:r>
    </w:p>
    <w:p>
      <w:r>
        <w:rPr>
          <w:b/>
        </w:rPr>
        <w:t>E. 1.2</w:t>
      </w:r>
    </w:p>
    <w:p>
      <w:r>
        <w:t>Die Beschwerde ist frist- und formgerecht eingereicht (Art. 108 Abs. 1 AsylG, Art. 6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w:t>
      </w:r>
    </w:p>
    <w:p>
      <w:r>
        <w:rPr>
          <w:b/>
        </w:rPr>
        <w:t>E. 5</w:t>
      </w:r>
    </w:p>
    <w:p>
      <w:r>
        <w:t>Vorab ist in Übereinstimmung mit der Vorinstanz festzuhalten, dass die im Wiedererwägungsgesuch vom 1. August 2007 im Zusammenhang mit dem Vollzug der Wegweisung gemachten Ausführungen betreffend die allgemeine Lage im Irak (in der Verfügung des BFM vom 3. Dezember 2007 in den Punkten 4 bis 6 auf S. 2 abgehandelt) nicht Gegenstand des vorliegenden Verfahrens sind, sondern frühestens im Rahmen des allenfalls später noch anstehenden Verfahrens betreffend die Aufhebung der vorläufigen Aufnahme geprüft werden könnten. Der Beschwerdeführer ist in seiner Beschwerde vom 3. Januar 2008 denn auch folgerichtig nicht mehr auf diesen Punkt eingegangen. Im vorliegenden Verfahren ist einzig zu prüfen, ob das BFM zu Recht auf das Wiedererwägungsgesuch des Beschwerdeführers vom 1. August 2007 nicht eingetreten ist.</w:t>
      </w:r>
    </w:p>
    <w:p>
      <w:r>
        <w:rPr>
          <w:b/>
        </w:rPr>
        <w:t>E. 6.1</w:t>
      </w:r>
    </w:p>
    <w:p>
      <w:r>
        <w:t>Das BFM fasst in seinem Nichteintretensentscheid vom 3. Dezember 2007 einleitend die Vorbringen des Beschwerdeführers in dessen Wiedererwägungsgesuch vom 1. August 2007 zusammen. Er sei mit dem negativen Entscheid des BFM vom 27. Januar 2006 nicht einverstanden. Da er eine gegen diesen Entscheid gerichtete Beschwerde verspätet eingereicht habe, sei ihm die Möglichkeit verwehrt geblieben, Gegenargumente vorzubringen. Die geltend gemachte Blutrache sei eine gezielte Verfolgungsmassnahme der Angehörigen der Opfer gegen ihn. Dabei handle es sich um eine staatliche und nicht um eine private Verfolgung. Die Regierung sei nicht in der Lage, die schutzbedürftige Person zu schützen (Punkt 1). Das Schriftstück der IFIR sei nicht, wie vom BFM behauptet, ein Gefälligkeitsschreiben. Die IFIR sei eine vertrauensvolle Quelle bezüglich Berichte und Informationen über den Irak. Auch was die von ihm eingereichten Fotos und der Parteiausweis der KSDP betreffe, sei er mit der vorinstanzlichen Argumentation überhaupt nicht einverstanden und halte fest, die diesbezügliche Beurteilung des BFM sei realitätsfremd und eine oberflächliche Auswertung seiner Asylvorbringen gewesen (Punkt 2). Es sei Realität, dass die Angehörigen des Opfers mehrmals zu seiner Familie gekommen seien. Diese Information habe er von seinem Bruder erhalten, welcher eine vertrauensvolle Person von ihm sei (Punkt 3). Das BFM führte in der Folge weiter aus, dass ein Wiedererwägungsgesuch nicht als Ersatz für eine verpasste Beschwerdemöglichkeit dienen dürfe. Gründe, welche bereits im Zeitpunkt der verpassten Anfechtungsmöglichkeit im ordentlichen Beschwerdeverfahren bestanden hätten, könnten somit nicht als Wiedererwägungsgründe vorgebracht werden (vgl. EMARK 2000 Nr. 24). Ebenso könnten Vorbringen dann nicht zu einer Wiedererwägung führen, wenn sie bereits in einem ordentlichen Beschwerdeverfahren gegen die frühere Verfügung hätten geltend gemacht werden können; weder könnten Verwaltungsentscheide durch Wiedererwägungsgesuche uneingeschränkt immer wieder in Frage gestellt werden, noch könne das Institut des Wiedererwägungsgesuches dazu dienen, eine unterlassene förmliche Beschwerde zu ersetzen beziehungsweise Beschwerdefristen zu umgehen. Neue erhebliche Tatsachen und Beweismittel würden demnach nur dann einen Wiedererwägungsgrund bilden, wenn der Gesuchsteller sie auch bei zumutbarer Sorgfalt im ordentlichen Rechtsmittelverfahren nicht habe kennen oder beibringen können, oder sie aus entschuldbaren Gründen nicht vorgebracht habe. Die im Gesuch vom 1. August 2007 unter Punkt 1 und 2 festgehaltenen Vorbringen wären spätestens im vorangegangenen Beschwerdeverfahren geltend zu machen gewesen. Ein plausibler Grund, weshalb dies dem Beschwerdeführer trotz zumutbarer Sorgfalt nicht möglich gewesen wäre, sei den vorliegenden Akten nicht zu entnehmen. Die diesbezüglich vorgebrachten Vorbringen stellten deshalb gemäss Art. 66 Abs. 3 VwVG keine Gründe dar, die zu einer wiedererwägungsweisen Überprüfung der rechtskräftigen Verfügung Anlass geben könnten. Was Punkt 3 betreffe, sei festzuhalten, dass wenn einem Gesuch nicht genügend substanziierte Wiedererwägungsgründe zu entnehmen seien, die Behörde nicht gehalten sei, auf das Gesuch einzutreten oder es überhaupt formell an die Hand zu nehmen (vgl. EMARK 2003/7). Eine Eingabe sei dann nicht "substanziiert begründet", wenn keine tatsächlichen Anhaltspunkte vorlägen, die auf das Bestehen eines Wiedererwägungsgrundes hindeuten würden. Im Gesuch vom 1. August 2007 habe der Beschwerdeführer unter anderem geltend gemacht, dass die Angehörigen des Opfers mehrmals zu seiner Familie gekommen seien, welche Informationen er von seinem Bruder erhalten habe. Dieses Vorbringen vermöge den Anforderungen an die Begründetheit von Wiedererwägungsgesuchen aber nicht zu genügen, zumal es gänzlich unsubstanziiert bleibe, womit darauf auch nicht eingetreten werden könne. Zusammenfassend sei festzuhalten, dass keine Gründe vorlägen, welche die Rechtskraft der Verfügung vom 27. Januar 2006 beseitigen könnten. Auf das Wiedererwägungsgesuch sei nach dem Gesagten deshalb nicht einzutreten.</w:t>
      </w:r>
    </w:p>
    <w:p>
      <w:r>
        <w:rPr>
          <w:b/>
        </w:rPr>
        <w:t>E. 6.2</w:t>
      </w:r>
    </w:p>
    <w:p>
      <w:r>
        <w:t>In der Beschwerde vom 3. Januar 2008 bringt der Beschwerdeführer im Wesentlichen vor, er habe in seinem Wiedererwägungsgesuch drei neue Gründe erwähnt, die von der Vorinstanz nicht berücksichtigt worden seien. Es seien dies erstens die Verfolgung der Angehörigen des Opfers, die mehrmals zu seiner Familie gegangen seien, ihre Drohungen gegen ihn betont und ihn gesucht hätten, zweitens seine Tätigkeiten für die IFIR und schliesslich drittens seine politischen Aktivitäten für die kommunistische Arbeiterpartei des Irak (Worker Communist Party of Iraq, WCPI). Das BFM habe die Gründe betreffend die Aktivitäten für die IFIR und die WCPI ignoriert sowie seine Verfolgungsängste und die diesbezüglichen Informationen von seinem Bruder nur oberflächlich bearbeitet und überprüft. Betreffend den letztgenannten Grund habe er eine Bestätigung der KSDP-UK samt Übersetzung zu den Akten gereicht, in welchem bestätigt werde, dass sein Problem mit den Angehörigen des Opfers noch nicht gelöst sei und ihm im Irak weitere Verfolgung drohe. Bei dieser Verfolgung handle es sich um eine staatliche Verfolgung, da die Regierung nicht in der Lage wäre, ihn zu schützen. Die staatlichen Strukturen im Nordirak würden überhaupt nicht funktionieren. Die Polizei könne sogar ihre eigene Sicherheit nicht garantieren. Es sei unmöglich, dass sie der normalen Bevölkerung Schutz bieten könne. Die Angehörigen des Opfers seien mehrmals zu seiner Familie gegangen. Blutrache heisse nun mal Blutrache und nichts anderes. Dies bedeute eine konkrete Verfolgung, zumal er für den Tod eines Menschen verantwortlich gemacht werde.</w:t>
      </w:r>
    </w:p>
    <w:p>
      <w:r>
        <w:rPr>
          <w:b/>
        </w:rPr>
        <w:t>E. 6.3</w:t>
      </w:r>
    </w:p>
    <w:p>
      <w:r>
        <w:t>Die Vorbringen des Beschwerdeführers entbehren indes jeglicher wiedererwägungsrechtlicher Relevanz. Offensichtlich versucht der Beschwerdeführer, das im ordentlichen, abgeschlossenen Beschwerdeverfahren Versäumte nachzuholen. Ein solches Vorgehen ist jedoch praxisgemäss unter dem Titel der Wiedererwägung nicht zu schützen. Um Wiederholungen zu vermeiden, kann daher auf die zutreffenden Ausführungen der Vorinstanz verwiesen werden, welche das Bundesverwaltungsgericht teilt (vgl. vorstehend E. 6.1). Insbesondere ist darauf hinzuweisen, dass auch die - nach Angaben des Beschwerdeführers selbst - erst in der Schweiz aufgenommenen Tätigkeiten für die IFIR und die WCIP sowie die in diesem Zusammenhang eingereichten Beweismittel an dieser Einschätzung nichts zu ändern vermögen. Diese Aktivitäten sind im wiedererwägungsrechtlichen Sinne irrelevant.</w:t>
      </w:r>
    </w:p>
    <w:p>
      <w:r>
        <w:rPr>
          <w:b/>
        </w:rPr>
        <w:t>E. 6.4</w:t>
      </w:r>
    </w:p>
    <w:p>
      <w:r>
        <w:t>Zusammenfassend ist festzustellen, dass es dem Beschwerdeführer nicht gelungen ist, eine wiedererwägungsrechtlich relevante Sachlage darzulegen, welche es rechtfertigen würde, die rechtskräftige vorinstanzliche Verfügung vom 27. Januar 2006 aufzuheben. Das BFM ist zu Recht auf das Wiedererwägungsgesuch des Beschwerdeführers vom 1. August 2007 nicht eingetreten.</w:t>
      </w:r>
    </w:p>
    <w:p>
      <w:r>
        <w:rPr>
          <w:b/>
        </w:rPr>
        <w:t>E. 7</w:t>
      </w:r>
    </w:p>
    <w:p>
      <w:r>
        <w:t>Aus diesen Erwägungen ergibt sich, dass die angefochtene Verfügung Bundesrecht nicht verletzt, den rechtserheblichen Sachverhalt richtig und vollständig feststellt und angemessen ist (Art. 106 AsylG). Die Beschwerde ist abzuweisen.</w:t>
      </w:r>
    </w:p>
    <w:p>
      <w:r>
        <w:rPr>
          <w:b/>
        </w:rPr>
        <w:t>E. 8</w:t>
      </w:r>
    </w:p>
    <w:p>
      <w:r>
        <w:t>Bei diesem Ausgang des Verfahrens sind die Kosten dem Beschwerdeführer aufzuerlegen (Art. 63 Abs. 1 VwVG), auf insgesamt Fr. 600.-- festzusetzen (Art. 1-3 des Reglements über die Kosten und Entschädigungen vor dem Bundesverwaltungsgericht vom 21. Februar 2008 [VGKE]) und mit dem am 28. Januar 2008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