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D-1996/2018 vom 28. Oktober 2021</w:t>
      </w:r>
    </w:p>
    <w:p>
      <w:r>
        <w:t>Bundesverwaltungsgericht, 2021-10-28, DE</w:t>
      </w:r>
    </w:p>
    <w:p>
      <w:r>
        <w:rPr>
          <w:b/>
        </w:rPr>
        <w:t xml:space="preserve">Quelle: </w:t>
      </w:r>
      <w:r>
        <w:t>https://mcp.opencaselaw.ch/entscheid/bvger_D-1996_2018</w:t>
      </w:r>
    </w:p>
    <w:p>
      <w:r>
        <w:t>FR: TAF D-1996/2018 du 28 octobre 2021</w:t>
      </w:r>
    </w:p>
    <w:p>
      <w:r>
        <w:t>IT: TAF D-1996/2018 del 28 ottobre 2021</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einer zweiten Richterin entschieden (Art. 111 Bst. e AsylG). Wie nachstehend aufgezeigt, handelt es sich vorliegend um eine solche, weshalb das Urteil nur summarisch zu begründen ist (Art. 111a Abs. 2 AsylG).</w:t>
      </w:r>
    </w:p>
    <w:p>
      <w:r>
        <w:rPr>
          <w:b/>
        </w:rPr>
        <w:t>E. 4</w:t>
      </w:r>
    </w:p>
    <w:p>
      <w:r>
        <w:t>Mit Zwischenverfügung vom 9. Juli 2018 wurde dem Antrag auf Bekanntgabe des Spruchkörpers entsprochen, verbunden mit dem Vorbehalt, dass der Spruchkörper bei Abwesenheiten Änderungen erfahren könne. Der Spruchkörper wurde insofern geändert, als Gerichtsschreiber Philipp Reimann aus organisatorischen Gründen durch Gerichtsschreiberin Bettina Hofmann ersetzt wurde. Im Übrigen ist zu bestätigen, dass der Spruchkörper im Auftrag des Abteilungspräsidiums durch eine Kanzleiperson gemäss Art. 31 Abs. 3 sowie Art. 32 Abs. 1 des Geschäftsreglements für das Bundesverwaltungsgericht vom 17. April 2008 (VGR, SR 173.320.1) unter Berücksichtigung objektiver Kriterien generiert wurde.</w:t>
      </w:r>
    </w:p>
    <w:p>
      <w:r>
        <w:rPr>
          <w:b/>
        </w:rPr>
        <w:t>E. 5.1</w:t>
      </w:r>
    </w:p>
    <w:p>
      <w:r>
        <w:t>Hinsichtlich der Akteneinsicht ist festzuhalten, dass das Aktenstück A18 («nota interna») vom SEM zu Recht als interne Akte qualifiziert worden ist, weshalb es nicht editionspflichtig ist (vgl. BGE 115 V 303).</w:t>
      </w:r>
    </w:p>
    <w:p>
      <w:r>
        <w:rPr>
          <w:b/>
        </w:rPr>
        <w:t>E. 5.2</w:t>
      </w:r>
    </w:p>
    <w:p>
      <w:r>
        <w:t>Der Antrag auf Einsicht in die nicht öffentlichen Quellen des Lagebildes des SEM vom 16. August 2016 ist abzuweisen (vgl. Urteil des BVGer D-109/2018 vom 16. Mai 2018 E. 6.3).</w:t>
      </w:r>
    </w:p>
    <w:p>
      <w:r>
        <w:rPr>
          <w:b/>
        </w:rPr>
        <w:t>E. 5.3</w:t>
      </w:r>
    </w:p>
    <w:p>
      <w:r>
        <w:t>Entsprechend ist auch der Antrag auf Einräumung einer Frist zur Beschwerdeergänzung abzuweisen.</w:t>
      </w:r>
    </w:p>
    <w:p>
      <w:r>
        <w:rPr>
          <w:b/>
        </w:rPr>
        <w:t>E. 6.1</w:t>
      </w:r>
    </w:p>
    <w:p>
      <w:r>
        <w:t>Auf Beschwerdeebene werden verschiedene formelle Rügen (Verletzung des Anspruchs auf gleiche und gerechte Behandlung, des Willkürverbots, des Anspruchs auf rechtliches Gehör inklusive der Begründungspflicht sowie unrichtige und unvollständige Feststellung des rechtserheblichen Sachverhalts) erhoben. Sie sind vorab zu beurteilen, da sie gegebenenfalls geeignet sind, die Feststellung der Nichtigkeit respektive eine Kassation der vorinstanzlichen Verfügung zu bewirken.</w:t>
      </w:r>
    </w:p>
    <w:p>
      <w:r>
        <w:rPr>
          <w:b/>
        </w:rPr>
        <w:t>E. 6.2</w:t>
      </w:r>
    </w:p>
    <w:p>
      <w:r>
        <w:t>Gemäss dem verfassungsmässigen Grundsatz von Art. 29 Abs. 1 BV hat eine Person in einem Verwaltungsverfahren Anspruch auf gleiche und gerechte Behandlung und somit auch auf eine rechtmässig zusammengesetzte, zuständige und unbefangene Behörde. Dieser Anspruch setzt die Bekanntgabe der personellen Zusammensetzung der Behörde voraus, wobei eine Bekanntgabe in irgendeiner Form ausreicht, beispielsweise wenn deren Namen dem Betroffenen gar nicht persönlich mitgeteilt werden, diese jedoch einer allgemein zugänglichen Publikation wie etwa in einem amtlichen Blatt, einem Staatskalender oder einem Rechenschaftsbericht der Behörde entnommen werden können (vgl. dazu das Teilurteil des BVGer D-1549/2017 vom 2. Mai 2018 E. 8 m.w.H.). Willkür liegt gemäss Lehre und Rechtsprechung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BGE 133 I 149 E. 3.1, m.w.H.). Dabei muss rechtsgenüglich dargelegt werden, inwiefern die beanstandete Begründung willkürlich sein soll (BGE 116 Ia 426 S. 428, m.w.H.).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6.3</w:t>
      </w:r>
    </w:p>
    <w:p>
      <w:r>
        <w:t>Der Beschwerdeführer rügt, die Verfügung des SEM leide an einem schweren formellen Mangel, welcher die Verfügung nichtig mache. Sie verletze den zentralen Anspruch auf Rechtsgleichheit, da aus ihr - bis auf die Funktionsbezeichnungen, unleserliche Unterschriften und dem Kürzel «(...)» - nicht hervorgehe, welche Personen für den Entscheid zuständig gewesen seien. Mit Zwischenverfügung vom 9. Juli 2018 wurde dem Beschwerdeführer mitgeteilt, dass sich zwischenzeitlich sowohl die für die Verfügung verantwortliche Fachspezialistin Asyl mit dem Kürzel «(...)» als auch deren Vorgesetzte mittels Konsultation des Staatskalenders ermitteln liessen, ohne dass er in der Folge Einwände gegen die betreffenden Personen geltend machte. Das Fehlen der Namen in der angefochtenen Verfügung selbst stellt keinen besonders schwerwiegenden Mangel dar, welcher die Nichtigkeit der Verfügung nach sich ziehen würde (vgl. Teilurteil des BVGer D-1549/2017 vom 2. Mai 2018 E. 8.4).</w:t>
      </w:r>
    </w:p>
    <w:p>
      <w:r>
        <w:rPr>
          <w:b/>
        </w:rPr>
        <w:t>E. 6.4</w:t>
      </w:r>
    </w:p>
    <w:p>
      <w:r>
        <w:t>Seitens des Beschwerdeführers wird ferner eine Verletzung des Willkürverbots mit der Begründung gerügt, das SEM habe, anstatt sämtliche Vorbringen zu würdigen, eine willkürliche Glaubhaftigkeitsprüfung vorgenommen. Hierzu ist festzuhalten, dass dem Willkürverbot (Art. 9 BV) im vorliegenden Verfahren keine eigenständige Bedeutung zukommt. Der Beschwerdeführer beruft sich nämlich nur in Verbindung mit anderen Rügen (Verletzung der Begründungspflicht, unvollständige Sachverhaltsabklärung, fehlerhafte juristische Würdigung) auf das Willkürverbot. Vor diesem Hintergrund enthält sich das Bundesverwaltungsgericht im Folgenden einer eigenständigen Prüfung einer Verletzung von Art. 9 BV.</w:t>
      </w:r>
    </w:p>
    <w:p>
      <w:r>
        <w:rPr>
          <w:b/>
        </w:rPr>
        <w:t>E. 6.5</w:t>
      </w:r>
    </w:p>
    <w:p>
      <w:r>
        <w:t>Weiter moniert der Beschwerdeführer, das SEM habe seinen Anspruch auf rechtliches Gehör in verschiedener Hinsicht verletzt. Hierzu bringt er im Einzelnen was folgt vor:</w:t>
      </w:r>
    </w:p>
    <w:p>
      <w:r>
        <w:rPr>
          <w:b/>
        </w:rPr>
        <w:t>E. 6.5.1</w:t>
      </w:r>
    </w:p>
    <w:p>
      <w:r>
        <w:t>Er sei anlässlich der BzP wiederholt unter Zeitdruck gesetzt worden, weshalb er nicht in der von ihm gewünschten Ausführlichkeit über seine Asylgründe habe berichten können. Aus dem Protokoll geht nicht hervor, dass er bei seinen Schilderungen explizit zur Kürze angehalten oder gar unterbrochen worden wäre. Es besteht mithin kein Anlass, dieses BzP-Protokoll als unzulässige Entscheidgrundlage einzustufen oder gar aus den Akten zu weisen.</w:t>
      </w:r>
    </w:p>
    <w:p>
      <w:r>
        <w:rPr>
          <w:b/>
        </w:rPr>
        <w:t>E. 6.5.2</w:t>
      </w:r>
    </w:p>
    <w:p>
      <w:r>
        <w:t>Zwischen der BzP und der Anhörung liege ein zu grosser zeitlicher Abstand (über eineinhalb Jahre). Das SEM missachte damit die Empfehlung von Prof. Dr. Walter Kälin. Diese Rüge erweist sich als nicht stichhaltig, da es sich bei der vom Beschwerdeführer angerufenen Empfehlung, die Anhörung möglichst zeitnah zur BzP durchzuführen, um keine justiziable Verfahrenspflicht handelt (vgl. statt vieler Urteil des BVGer D-925/2019 vom 8. Juni 2021 E. 6.3.2).</w:t>
      </w:r>
    </w:p>
    <w:p>
      <w:r>
        <w:rPr>
          <w:b/>
        </w:rPr>
        <w:t>E. 6.5.3</w:t>
      </w:r>
    </w:p>
    <w:p>
      <w:r>
        <w:t>Seine Anhörung und die Ausfertigung der angefochtenen Verfügung seien nicht durch dieselbe sachbearbeitende Person erfolgt. Das SEM missachte auch diesbezüglich die Empfehlung von Prof. Dr. Walter Kälin. Die Konstellation, dass verschiedene Personen für die Anhörung und den Asylentscheid verantwortlich gewesen seien, habe ihm zum Nachteil gereicht, wodurch sein Anspruch auf korrekte Erteilung des rechtlichen Gehörs massiv verletzt worden sei. Jedoch wird über diese blosse Behauptung hinaus weder ausgeführt, inwiefern dem Beschwerdeführer aus dem genannten Umstand ein konkreter Nachteil entstanden sein noch weshalb dies einer Verletzung des rechtlichen Gehörs gleichkommen soll. Die genannte Rüge erweist sich somit als unbegründet und der Antrag, das Gericht habe die vom SEM zur Anhörung intern angelegten Akten beizuziehen, um zu erfahren, was für einen persönlichen Eindruck der Befrager vom Beschwerdeführer gehabt habe, ist somit abzuweisen.</w:t>
      </w:r>
    </w:p>
    <w:p>
      <w:r>
        <w:rPr>
          <w:b/>
        </w:rPr>
        <w:t>E. 6.6</w:t>
      </w:r>
    </w:p>
    <w:p>
      <w:r>
        <w:t>Der Beschwerdeführer bringt ferner vor, das SEM habe die Begründungspflicht und die Pflicht zur richtigen und vollständigen Sachverhaltsfeststellung verletzt, indem es die LTTE-Mitgliedschaft seines (...) im Rahmen der Beurteilung seines Risikoprofils im Sinne des Referenzurteils E-1866/2015 vom 15. Juli 2016 ausgeklammert habe.</w:t>
      </w:r>
    </w:p>
    <w:p>
      <w:r>
        <w:rPr>
          <w:b/>
        </w:rPr>
        <w:t>E. 6.6.1</w:t>
      </w:r>
    </w:p>
    <w:p>
      <w:r>
        <w:t>Im Referenzurteil E-1866/2015 vom 15. Juli 2016 hat das Bundesverwaltungsgericht festgestellt, dass aus Europa respektive der Schweiz zurückkehrende tamilische Asylsuchende nicht generell einer ernstzunehmenden Gefahr von Verhaftung und Folter ausgesetzt sind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w:t>
      </w:r>
    </w:p>
    <w:p>
      <w:r>
        <w:rPr>
          <w:b/>
        </w:rPr>
        <w:t>E. 6.6.2</w:t>
      </w:r>
    </w:p>
    <w:p>
      <w:r>
        <w:t>In seiner Verfügung hat das SEM bei der Prüfung der Flüchtlingseigenschaft das obgenannte Referenzurteil zitiert und in diesem Zusammenhang festgehalten, dass Rückkehrer, die illegal ausgereist seien, über keine gültigen Identitätsdokumente verfügten, im Ausland ein Asylverfahren durchlaufen hätten oder behördlich gesucht würden, am Flughafen zu ihrem Hintergrund befragt würden.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Diese Kontrollmassnahmen nähmen grundsätzlich kein asylrelevantes Ausmass an. Der Beschwerdeführer habe nicht nachweisen respektive glaubhaft machen können, vor der Ausreise asylrelevanten Verfolgungsmassnahmen ausgesetzt gewesen zu sein. Aufgrund der Aktenlage sei nicht ersichtlich, weshalb er bei einer Rückkehr nach Sri Lanka nunmehr in den Fokus der Behörden geraten und in asylrelevanter Weise verfolgt werden sollte (vgl. Verfügung des SEM vom 22. Februar 2018, Ziff. II/Ziff. 4). Vor diesem Hintergrund ist dem Beschwerdeführer darin beizupflichten, dass das SEM die geltend gemachte Mitgliedschaft des (...) des Beschwerdeführers bei den LTTE (vgl. A7 Ziff. 3.01, Ziff. 7.01; A22 F16, F45, F111) und damit ein rechtserhebliches Sachverhaltselement vollständig ausblendet. Diese Mitgliedschaft wird weder erwähnt noch aufgezeigt, inwiefern sie vorliegend in flüchtlingsrechtlicher Hinsicht nicht von Bedeutung sei. Bei der vom SEM vorgenommenen Risikoprüfung finden sich vielmehr bloss allgemein gehaltene Erwägungen zur Rückkehr von illegal aus Sri Lanka ausgereisten tamilischen Asylsuchenden, die über keine rechtsgültigen Ausweispapiere verfügen. Eine vertiefte Risikoprüfung, wie vom Bundesverwaltungsgericht vorgesehen, erfolgt auch in der Vernehmlassung nicht. Die Erwägungen des SEM erschöpfen sich darin, zu betonen, dass der Beschwerdeführer keine Vorfluchtgründe habe nachweisen respektive glaubhaft machen können und vor seiner Ausreise kein Risikoprofil aufgewiesen habe und auch bei einer Rückkehr nicht befürchten müsse, im Fokus der heimatlichen Behörden zu stehen (vgl. Vernehmlassung des SEM, S. 2). Damit verkennt das SEM einmal mehr, dass gemäss dem Referenzurteil tatsächliche oder vermeintliche, aktuelle oder vergangene familiäre Anknüpfungspunkte zu den LTTE als Hauptrisikofaktor gelten (a.a.O. E. 8.4.1). Nach dem Gesagten hat das SEM nicht nur die ihm obliegende Begründungspflicht verletzt, sondern es insbesondere auch unterlassen, den rechtserheblichen Sachverhalt vollständig abzuklären.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w:t>
      </w:r>
    </w:p>
    <w:p>
      <w:r>
        <w:rPr>
          <w:b/>
        </w:rPr>
        <w:t>E. 7.2</w:t>
      </w:r>
    </w:p>
    <w:p>
      <w:r>
        <w:t>Vorliegend kann nur schon deshalb von einer Heilung auf Beschwerdeebene keine Rede sein, weil die Vorinstanz es versäumt hat, den formellen Fehler im Rahmen des Schriftenwechsels zu korrigieren. Dem Beschwerdeführer bleibt mit der Kassation ausserdem der Instanzenzug erhalten, was umso wichtiger ist, als im Asylverfahren das Bundesverwaltungsgericht letztinstanzlich entscheidet (vgl. dazu BVGE 2009/53 E. 7.3, BVGE 2008/47 E. 3.3.4, BVGE 2008/14 E. 4.1).</w:t>
      </w:r>
    </w:p>
    <w:p>
      <w:r>
        <w:rPr>
          <w:b/>
        </w:rPr>
        <w:t>E. 8</w:t>
      </w:r>
    </w:p>
    <w:p>
      <w:r>
        <w:t>Nach dem Gesagten ist die Beschwerde insofern gutzuheissen, als die angefochtene Verfügung aufzuheben und die Sache zur Behebung der festgestellten Mängel sowie zur Neubeurteilung an das SEM zurückzuweisen ist. Angesichts der Rückweisung der Sache erübrigt es sich, auf die weiteren Vorbringen, Anträge und eingereichten Beweismittel einzugehen, weil sie ebenfalls Gegenstand des wiederaufzunehmenden erstinstanzlichen Verfahrens sein werden und das SEM sich damit zu befassen haben wird.</w:t>
      </w:r>
    </w:p>
    <w:p>
      <w:r>
        <w:rPr>
          <w:b/>
        </w:rPr>
        <w:t>E. 9.1</w:t>
      </w:r>
    </w:p>
    <w:p>
      <w:r>
        <w:t>Bei diesem Ausgang des Verfahrens sind keine Kosten zu erheben (Art. 63 Abs. 1 und 2 VwVG). Der mit Verfügung vom 9. Juli 2018 erhobene und am 24. Juli 2018 geleistete Kostenvorschuss in der Höhe von Fr. 1'500.- ist dem Beschwerdeführer zurückzuerstatten.</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des Rechtsvertreters des Beschwerdeführers wurde keine Kostennote eingereicht. Auf die Nachforderung einer solchen ist indessen zu verzichten (vgl. Art. 14 Abs. 2 VGKE), weil im vorliegenden Verfahren der Vertretungsaufwand zuverlässig abgeschätzt werden kann. Entschädigungspflichtig ist nur der notwendige Aufwand, weshalb es zu berücksichtigen gilt, dass die Beschwerdeeingaben sowohl redundante Passagen als auch weitschweifige Ausführungen zur allgemeinen Lage in Sri Lanka, welche sich auch in Eingaben in vielen anderen Beschwerdeverfahren des Rechtsvertreters finden, enthalten. In Berücksichtigung der massgeblichen Bemessungsfaktoren (vgl. Art. 8 ff. VGKE) ist der Gesamtaufwand pauschal auf Fr. 2'000.-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