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D-1987/2023 vom 20. April 2023</w:t>
      </w:r>
    </w:p>
    <w:p>
      <w:r>
        <w:t>Bundesverwaltungsgericht, 2023-04-20, DE</w:t>
      </w:r>
    </w:p>
    <w:p>
      <w:r>
        <w:rPr>
          <w:b/>
        </w:rPr>
        <w:t xml:space="preserve">Quelle: </w:t>
      </w:r>
      <w:r>
        <w:t>https://mcp.opencaselaw.ch/entscheid/bvger_D-1987_2023</w:t>
      </w:r>
    </w:p>
    <w:p>
      <w:r>
        <w:t>FR: TAF D-1987/2023 du 20 avril 2023</w:t>
      </w:r>
    </w:p>
    <w:p>
      <w:r>
        <w:t>IT: TAF D-1987/2023 del 20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(vgl. auch Art. 7 Abs. 1 Dublin-III-VO).</w:t>
      </w:r>
    </w:p>
    <w:p>
      <w:r>
        <w:rPr>
          <w:b/>
        </w:rPr>
        <w:t>E. 4.3</w:t>
      </w:r>
    </w:p>
    <w:p>
      <w:r>
        <w:t>Der als zuständige Staat bestimmte Mitgliedstaat ist gemäss Art. 18 Abs. 1 Bst. b Dublin-III-VO verpflichtet, einen Antragsteller, der während der Prüfung seines Antrags in einem anderen Mitgliedstaat einen Antrag gestellt hat oder der sich im Hoheitsgebiet eines anderen Mitgliedstaats ohne Aufenthaltstitel aufhält, nach Massgabe der Art. 23, 24, 25 und 29 wieder aufzunehmen. Diese Pflicht erlischt, wenn der zuständige Mitgliedstaat nachweisen kann, dass der Antragsteller, um dessen Wiederaufnah-me ersucht wurde, das Hoheitsgebiet der Mitgliedstaaten für mindestens drei Monate verlassen hat, es sei denn, die betreffende Person ist im Besitz eines vom zuständigen Mitgliedstaat ausgestellten gültigen Aufenthaltstitels (vgl. Art. 19 Abs. 2 Dublin-III-VO).</w:t>
      </w:r>
    </w:p>
    <w:p>
      <w:r>
        <w:rPr>
          <w:b/>
        </w:rPr>
        <w:t>E. 5.1</w:t>
      </w:r>
    </w:p>
    <w:p>
      <w:r>
        <w:t>Ein Abgleich der Fingerabdrücke des Beschwerdeführers mit der "Eurodac"-Datenbank ergab, dass dieser am 13. Februar 2023 in Österreich ein Asylgesuch eingereicht hatte. Das SEM ersuchte deshalb die österreichischen Behörden am 17. März 2023 um Wiederaufnahme des Beschwerdeführers gestützt auf Art. 23 oder 24 Dublin-III-VO. Die österreichischen Behörden liessen das Übernahmeersuchen innert der in Art. 25 Abs. 1 Dublin-III-VO vorgesehenen Frist unbeantwortet, womit sie die Zuständigkeit Österreichs implizit anerkannten (Art. 25 Abs. 2 Dublin-III-VO). Vor diesem Hintergrund ist die grundsätzliche Zuständigkeit Österreichs für die Durchführung des Asyl- und Wegweisungsverfahrens gegeben. Der Einwand des Beschwerdeführers, Österreich sei nicht sein Zielland gewesen und er sei dort zur Abgabe seiner Fingerabdrücke gezwungen worden, vermag daran nichts zu ändern. Bereits die von ihm nicht bestrittene Einreise in das Hoheitsgebiet des Dublin-Staates hat die Zuständigkeit Österreichs für die Durchführung des Asyl- und Wegweisungsverfahrens begründet (Art. 18 Abs. 1 Bst. a Dublin-III-VO). Zudem gilt es darauf hinzuweisen, dass sich die Abnahme der Fingerabdrücke von illegal einreisenden ausländischen Personen und Asylsuchenden auf Art. 14 Abs. 1 der Verordnung (EU)Nr. 603/2013 des Europäischen Parlaments und des Rates vom 26. Juni 2013 (Eurodac-Verordnung) stützt. Es steht dem Beschwerdeführer damit gerade nicht frei zu wählen, ob und wann seine Fingerabdrücke abgenommen und an die "Eurodac"-Datenbank übermittelt werden. Das Vorgehen der österreichischen Behörden ist damit nicht zu beanstanden. Im Übrigen räumt die Dublin-III-VO kein Recht ein, den Asylantrag prüfenden Staat selber auswählen zu können (vgl. auch BVGE 2010/45 E. 8.3).</w:t>
      </w:r>
    </w:p>
    <w:p>
      <w:r>
        <w:rPr>
          <w:b/>
        </w:rPr>
        <w:t>E. 5.2.1</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im Sinne des Artikels 4 der EU-Grundrechtecharta mit sich bringen würden.</w:t>
      </w:r>
    </w:p>
    <w:p>
      <w:r>
        <w:rPr>
          <w:b/>
        </w:rPr>
        <w:t>E. 5.2.2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Ferner bestehen keine Gründe für die Annahme, das Asylverfahren und die Aufnahmebedingungen für Antragstellende in Österreich würden systemische Schwachstellen im Sinne von Art. 3 Abs. 2 Sätze 2 und 3 Dublin-III-VO aufweisen.</w:t>
      </w:r>
    </w:p>
    <w:p>
      <w:r>
        <w:rPr>
          <w:b/>
        </w:rPr>
        <w:t>E. 5.2.3</w:t>
      </w:r>
    </w:p>
    <w:p>
      <w:r>
        <w:t>Der Beschwerdeführer hat kein konkretes und ernsthaftes Risiko dargetan, die österreichischen Behörden würden sich weigern, ihn wieder aufzunehmen und seinen Antrag auf internationalen Schutz unter Einhaltung der Regeln der erwähnten Konventionen und Richtlinien zu prüfen.</w:t>
      </w:r>
    </w:p>
    <w:p>
      <w:r>
        <w:rPr>
          <w:b/>
        </w:rPr>
        <w:t>E. 5.2.4</w:t>
      </w:r>
    </w:p>
    <w:p>
      <w:r>
        <w:t>Unter diesen Umständen ist die Anwendung von Art. 3 Abs. 2 Dublin-III-VO nicht gerechtfertigt.</w:t>
      </w:r>
    </w:p>
    <w:p>
      <w:r>
        <w:rPr>
          <w:b/>
        </w:rPr>
        <w:t>E. 5.3.1</w:t>
      </w:r>
    </w:p>
    <w:p>
      <w:r>
        <w:t>Indem der Beschwerdeführer darlegt, er befinde sich in Österreich in Lebensgefahr, dort sei ihm gedroht und er sei diskriminiert worden, fordert er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5.3.2</w:t>
      </w:r>
    </w:p>
    <w:p>
      <w:r>
        <w:t>Eine Anwendung der Ermessensklausel ist vorliegend nicht angezeigt. Es gilt die Vermutung, dass Österreich - als Dublin-Mitgliedstaat - bei der Durchführung des Asyl- und Wegweisungsverfahrens die einschlägigen völkerrechtlichen Verpflichtungen respektiert. Der Beschwerdeführer bringt in seiner Beschwerde nichts Substanzielles vor, was diese Vermutung widerlegen könnte, und auch eine Durchsicht der Akten fördert keinerlei Hinweise auf das Bestehen eines völkerrechtlichen Vollzugshindernisses im Sinne von Art. 3 EMRK - welches zwingend zu einem Selbsteintritt führen müsste - zutage. Es ist daher davon auszugehen, dass der Beschwerdeführer in Österreich ein faires Asyl- und Wegweisungsverfahren unter Beachtung des Non-Refoulement-Gebots erwarten kann und adäquate Unterstützung und Unterbringung erhalten wird. Darüber hinaus verfügt Österreich über ein funktionierendes Polizei- und Justizsystem (vgl. etwa Urteil BVGer F-5549/2022 vom 28. Februar 2023 E. 4.2) und der Beschwerdeführer kann sich bei allfälligen Bedrohungen durch Dritte an die österreichischen Behörden wenden.</w:t>
      </w:r>
    </w:p>
    <w:p>
      <w:r>
        <w:rPr>
          <w:b/>
        </w:rPr>
        <w:t>E. 5.3.3</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rPr>
          <w:b/>
        </w:rPr>
        <w:t>E. 5.3.4</w:t>
      </w:r>
    </w:p>
    <w:p>
      <w:r>
        <w:t>Zusammenfassend besteht kein Grund für eine Anwendung der Ermessensklauseln von Art. 17 Dublin-III-VO; andere Gründe, die der Schweiz Anlass geben könnten, von ihrem Selbsteintrittsrecht nach Art. 17 Dublin-III-VO Gebrauch zu machen, wurden weder geltend gemacht noch sind solche ersichtlich.</w:t>
      </w:r>
    </w:p>
    <w:p>
      <w:r>
        <w:rPr>
          <w:b/>
        </w:rPr>
        <w:t>E. 6</w:t>
      </w:r>
    </w:p>
    <w:p>
      <w:r>
        <w:t>Nach dem Gesagten bleibt Österreich der für die Behandlung der Asylgesuche des Beschwerdeführers zuständige Mitgliedstaat gemäss Dublin-III-VO.</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Die Beschwerde ist demnach abzuweisen.</w:t>
      </w:r>
    </w:p>
    <w:p>
      <w:r>
        <w:rPr>
          <w:b/>
        </w:rPr>
        <w:t>E. 10.1</w:t>
      </w:r>
    </w:p>
    <w:p>
      <w:r>
        <w:t>Das Beschwerdeverfahren ist mit dem vorliegenden Urteil abgeschlossen. Die Anträge, es sei auf die Erhebung eines Kostenvorschusses zu verzichten und der Beschwerde sei die aufschiebende Wirkung zu erteilen, sind damit gegenstandslos geworden, und der am 13. April 2023 angeordnete Vollzugsstopp fällt dahin.</w:t>
      </w:r>
    </w:p>
    <w:p>
      <w:r>
        <w:rPr>
          <w:b/>
        </w:rPr>
        <w:t>E. 10.2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10.3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