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D-1987/2015 vom 23. Juni 2015</w:t>
      </w:r>
    </w:p>
    <w:p>
      <w:r>
        <w:t>Bundesverwaltungsgericht, 2015-06-23, DE</w:t>
      </w:r>
    </w:p>
    <w:p>
      <w:r>
        <w:rPr>
          <w:b/>
        </w:rPr>
        <w:t xml:space="preserve">Quelle: </w:t>
      </w:r>
      <w:r>
        <w:t>https://mcp.opencaselaw.ch/entscheid/bvger_D-1987_2015</w:t>
      </w:r>
    </w:p>
    <w:p>
      <w:r>
        <w:t>FR: TAF D-1987/2015 du 23 juin 2015</w:t>
      </w:r>
    </w:p>
    <w:p>
      <w:r>
        <w:t>IT: TAF D-1987/2015 del 23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Gestützt auf Art. 111a Abs. 1 AsylG wurde vorliegend auf die Durchführung eines Schriftenwechsels verzichtet.</w:t>
      </w:r>
    </w:p>
    <w:p>
      <w:r>
        <w:rPr>
          <w:b/>
        </w:rPr>
        <w:t>E. 5</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6.1</w:t>
      </w:r>
    </w:p>
    <w:p>
      <w:r>
        <w:t>Das SEM kann ein im Ausland gestelltes Asylgesuch ablehnen, wenn die asylsuchende Person keine Verfolgung glaubhaft machen kann oder ihr die Aufnahme in einem Drittstaat zugemutet werden kann (Art. 3, Art. 7 und AsylG und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des BVGer D-2018/2011 vom 14. September 2011 E. 7.1).</w:t>
      </w:r>
    </w:p>
    <w:p>
      <w:r>
        <w:rPr>
          <w:b/>
        </w:rPr>
        <w:t>E. 7.1</w:t>
      </w:r>
    </w:p>
    <w:p>
      <w:r>
        <w:t>Im Hinblick auf das in E. 6.1 f. Ausgeführte ist vorab zu prüfen, ob die Vorinstanz zutreffenderweise von der fehlenden Asylrelevanz der Vorbringen der Beschwerdeführenden ausgegangen ist und ihr Asylgesuch folglich zu Recht abgelehnt hat.</w:t>
      </w:r>
    </w:p>
    <w:p>
      <w:r>
        <w:rPr>
          <w:b/>
        </w:rPr>
        <w:t>E. 7.2</w:t>
      </w:r>
    </w:p>
    <w:p>
      <w:r>
        <w:t>Das Staatssekretariat hielt einleitend fest, dass allfällige Nachteile, welche die Beschwerdeführerin durch die LTTE erlitten habe, im heutigen Zeitpunkt nicht mehr einreiserelevant seien. Sodann führte es im Wesentlichen aus, es bestünden keine Anhaltspunkte, dass sie aufgrund der angeblichen Befragungen durch die Sicherheitskräfte in absehbarer Zukunft staatlichen Verfolgungsmassnahmen ausgesetzt sein könnte. Derartige Massnahmen, die im Zusammenhang mit der allgemeinen Bekämpfung des Terrorismus der LTTE durch die sri-lankischen Behörden zu sehen seien, komme mangels Intensität kein Verfolgungscharakter zu. Wären die sri-lankischen Behörden überzeugt gewesen, dass sie in irgendeiner Weise eine Gefahr für die Sicherheit des sri-lankischen Staates darstellen würde, wäre sie zweifelsohne längst inhaftiert worden. Denn gemäss Erkenntnissen des SEM werde in Sri Lanka gegen Personen, die ernsthaft in Verdacht stünden, die LTTE unterstützt zu haben respektive diese wiederbeleben zu wollen, behördlicherseits konsequent vorgegangen. Sie sei jedoch nie festgenommen, angeklagt oder verurteilt worden. Angesichts ihrer weitgehend kaum substantiierten Aussagen müsse das von ihr dargelegte Interesse der Sicherheitskräfte an ihrer Person ohnehin bezweifelt werden. Dass sie ihr Heimatland trotz der angeblich seit fünf Jahren andauernden Bedrohung nicht verlassen und insbesondere auch nicht geltend gemacht habe, dazu nicht in der Lage gewesen zu sein, sei ein weiterer Hinweis dafür, dass sie nicht ernsthaften Nachteilen ausgesetzt sei oder begründete Furcht habe, künftig solchen ausgesetzt zu sein. Schliesslich könne sie auch aus dem Tod ihres Ehemannes für ihre Person keine Einreiserelevanz herleiten. Da eine Einreisebewilligung nur erteilt werden könne, wenn mit überwiegender Wahrscheinlichkeit von einer akuten Gefährdung der gesuchstellenden Person im Heimatland ausgegangen werden müsse - was bei ihr gerade nicht zutreffe - könne ihr und dem Beschwerdeführer keine Einreisebewilligung erteilt und kein Asyl gewährt werden. An diesen Erwägungen vermöchten auch die eingereichten Dokumente nichts zu ändern, zumal sie lediglich Vorbringen stützten, deren Glaubhaftigkeit vorderhand nicht in Frage gestellt werde. Abschliessend wird noch festgehalten, dass mangels Schutzbedürftigkeit im Sinne von Art. 3 AsylG darauf verzichtet werden könne, auf allfällig vorhandene Unglaubhaftigkeitselemente in ihren Asylvorbringen einzugehen.</w:t>
      </w:r>
    </w:p>
    <w:p>
      <w:r>
        <w:rPr>
          <w:b/>
        </w:rPr>
        <w:t>E. 7.3</w:t>
      </w:r>
    </w:p>
    <w:p>
      <w:r>
        <w:t>In der Beschwerdeeingabe wiederholt die Beschwerdeführerin das bereits Ausgeführte.</w:t>
      </w:r>
    </w:p>
    <w:p>
      <w:r>
        <w:rPr>
          <w:b/>
        </w:rPr>
        <w:t>E. 7.4</w:t>
      </w:r>
    </w:p>
    <w:p>
      <w:r>
        <w:t>Die Überprüfung der Akten ergibt, dass das SEM den Beschwerdeführenden zu Recht die Einreise in die Schweiz verweigert und das Asylgesuch abgelehnt hat. Das Bundesverwaltungsgericht schliesst sich der Auffassung des SEM an, wonach die Einreisebewilligung mangels Schutzbedürftigkeit der Beschwerdeführenden zu verweigern und deren Asylgesuch mangels Asylrelevanz der Vorbringen abzulehnen ist, weshalb auf die zutreffenden Erwägungen in der vorinstanzlichen Verfügungen verwiesen werden kann. Zwar soll nicht in Abrede gestellt werden, dass die regelmässigen Verhöre - sollten sie sich tatsächlich so zugetragen haben - auf die Beschwerdeführerin belastend wirken. Allerdings sind sie nicht von einer solchen Intensität, dass sie bei objektiver Betrachtung geeignet wären, einen unerträglichen psychischen Druck auf sie zu bewirken. Das Ausgeführte trifft auch auf den Umstand zu, dass angeblich zwei verdächtige Unbekannte bei ihr zu Hause nach ihr gesucht hätten, selbst wenn es sich dabei um Angehörige der Sicherheitskräfte gehandelt haben sollte, zumal in der Beschwerdeeingabe keine weiteren ähnlich gelagerten Vorkommnisse geltend gemacht werden, weshalb der Vorfall wenig zielgerichtet wirkt. Hätten die fraglichen Personen mit ihrem Besuch einen die Beschwerdeführerin gefährdenden, asylrelevanten Zweck verfolgt, so muss davon ausgegangen werden, dass sie sich aufgrund der Abwesenheit der Beschwerdeführerin kaum von ihrem Ansinnen hätten abbringen lassen, sondern sie erneut aufgesucht hätten. In Bezug auf die angeblich täglich stattfindenden Bedrohungen, welche sie in der Eingabe vom 15. September 2014 geltend macht, ist festzuhalten, dass in keiner Weise dargelegt wird, wie diese Bedrohungen ausfallen sollen, wer deren Urheber sein soll und auch nicht, ob die Beschwerdeführerin diese polizeilich bekannt gemacht hat, weshalb eine gerichtliche Überprüfung derselben auf ihre Asylrelevanz hin nicht möglich ist. Vollständigkeitshalber bleibt noch festzuhalten, dass die Glaubhaftigkeit der Asylvorbringen - unabhängig von der fehlenden Asylrelevanz - zumindest fraglich erscheint. Das Ausgeführte ergibt sich beispielsweise aus dem Umstand, dass sich die Beschwerdeführerin im vorinstanzlichen Verfahren im Hinblick auf die Mitgliedschaft beziehungsweise Funktion ihres verstorbenen Ehemannes innerhalb der LTTE widersprach, indem sie in der Eingabe vom 23. April 2010 ausführte, ihr Mann sei Kadermitglied der LTTE gewesen, um dann anlässlich der Anhörung das Gegenteil zu behaupten. Eine vertiefte Glaubhaftigkeitsprüfung erübrigt sich jedoch aus den in der vorinstanzlichen Verfügung dargelegten Gründen (vgl. die vorinstanzliche Verfügung sowie vorstehend E. 7.2). Hervorzuheben ist auch, dass die geltend gemachten schwierigen Lebensumstände, wie etwa das Ringen um eine wirtschaftliche Existenzgrundlage, am Ausgeführten nichts zu ändern vermögen.</w:t>
      </w:r>
    </w:p>
    <w:p>
      <w:r>
        <w:rPr>
          <w:b/>
        </w:rPr>
        <w:t>E. 7.5</w:t>
      </w:r>
    </w:p>
    <w:p>
      <w:r>
        <w:t>Zusammenfassend ist festzustellen, dass es den Beschwerdeführenden nicht gelungen ist, eine aktuelle Verfolgung im Sinne von Art. 3 AsylG darzulegen. Es erübrigt sich, auf die eingereichten Beweismittel einzugehen, da diese keine neuen Begründungselemente enthalten, welche geeignet wären, die Einschätzung des SEM entscheidend zu relativieren. Das SEM hat demnach den Beschwerdeführenden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den Beschwerdeführenden aufzuerlegen (Art. 63 Abs. 1 VwVG). Aus ver­waltungsökonomischen Gründen und in Anwendung von Art. 63 Abs. 1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