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D-1986/2008 vom 21. Oktober 2011</w:t>
      </w:r>
    </w:p>
    <w:p>
      <w:r>
        <w:t>Bundesverwaltungsgericht, 2011-10-21, DE</w:t>
      </w:r>
    </w:p>
    <w:p>
      <w:r>
        <w:rPr>
          <w:b/>
        </w:rPr>
        <w:t xml:space="preserve">Quelle: </w:t>
      </w:r>
      <w:r>
        <w:t>https://mcp.opencaselaw.ch/entscheid/bvger_D-1986_2008</w:t>
      </w:r>
    </w:p>
    <w:p>
      <w:r>
        <w:t>FR: TAF D-1986/2008 du 21 octobre 2011</w:t>
      </w:r>
    </w:p>
    <w:p>
      <w:r>
        <w:t>IT: TAF D-1986/2008 del 21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Einleitend ist festzuhalten, dass die Beschwerdeführenden zwar das Rechtsbegehren betreffend Feststellung der Flüchtlingseigenschaft und Gewährung der vorläufigen Aufnahme stellten, nicht aber die Gewährung von Asyl beantragten. Deshalb ist mit Ablauf der Beschwerdefrist die Dis­positivziffer 2 der vorinstanzlichen Verfügung vom 19. Februar 2008 in Rechtskraft erwachsen. Da die Folge eines negativen Asylentscheides in der Regel die Wegweisung ist und die Beschwerdeführenden weder über eine ausländerrechtliche Aufenthaltsbewilligung noch über einen Anspruch auf Erteilung einer solchen verfügen (vgl. BVGE 2009/50 E. 9 S. 733, BVGE 2008/34 E. 9.2 S. 510), ist Dispositivziffer 3 der angefochtenen Verfügung ebenfalls in Rechtskraft erwachsen. Beschwerdegegenstand sind somit einzig noch die Fragen, ob die Beschwerdeführenden als Flüchtlinge anzuerkennen und ob die Voraussetzungen des Weg­weisungsvollzuges erfüllt sind.</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Als Flüchtling im Sinne von Art. 3 AsylG gelten auch Personen, die erst durch ihre Ausreise aus dem Heimat- oder Herkunftsstaat oder wegen ihres Verhaltens nach der Ausreise ernsthaften Nachteilen ausgesetzt sind (sog. subjektive Nachfluchtgründe). Massgebend für die Annahme subjektiver Nachfluchtgründe ist,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Personen mit subjektiven Nachfluchtgründen erhalten gemäss Art. 54 AsylG kein Asyl, werden jedoch als Flüchtling vorläufig aufgenommen, da die Ausschaffung in ihr Heimat- oder Herkunftsland unzulässig ist (Art. 44 Abs. 2 AsylG i.V.m. Art. 83 Abs. 2 des Bundesgesetzes vom 16. Dezember 2005 über die Ausländerinnen und Ausländer [AuG, SR 142.20]).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(vgl. auch BVGE 2009/28 E. 7.1 S. 352).</w:t>
      </w:r>
    </w:p>
    <w:p>
      <w:r>
        <w:rPr>
          <w:b/>
        </w:rPr>
        <w:t>E. 5.1</w:t>
      </w:r>
    </w:p>
    <w:p>
      <w:r>
        <w:t>Die Beschwerdeführenden machen geltend, aufgrund ihrer exilpolitischen Aktivitäten in der Schweiz bei einer Rückkehr in den Iran einer flüchtlingsrelevanten Verfolgung durch die iranischen Behörden ausgesetzt zu sein.</w:t>
      </w:r>
    </w:p>
    <w:p>
      <w:r>
        <w:rPr>
          <w:b/>
        </w:rPr>
        <w:t>E. 5.2.1</w:t>
      </w:r>
    </w:p>
    <w:p>
      <w:r>
        <w:t>Bezüglich der Gefährdung exilpolitisch aktiver Personen aus dem Iran ist festzuhalten, dass die politische Betätigung für staatsfeindliche Or­ganisationen im Ausland seit der Neufassung des iranischen Strafrechts im Jahr 1996 unter Strafe gestellt ist. Iranische Sicherheitsdienste beobachten und erfassen die politischen Aktivitäten von Iranerinnen und Iranern im Ausland, insbesondere von führenden Mitgliedern regierungskritischer Organisationen. Umfang und Intensität der Überwachung sind nur schwer abzuschätzen; seit den Unruhen im Anschluss an die Präsidentschaftswahlen 2009 scheint die Überwachung aber eher zugenommen zu haben. Mittels Einsatz moderner Software dürfte es den iranischen Behörden technisch auch möglich sein, die im Internet vorhandenen grossen Datenmengen ohne allzu grossen Aufwand in einem gewissen Ausmass zu überwachen (vgl. Fiorenza Kuthan, Iran: Illegale Ausreise / Situation von Mitgliedern der PDKI / 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w:t>
      </w:r>
    </w:p>
    <w:p>
      <w:r>
        <w:rPr>
          <w:b/>
        </w:rPr>
        <w:t>E. 5.2.2</w:t>
      </w:r>
    </w:p>
    <w:p>
      <w:r>
        <w:t>Die iranischen Geheimdienste scheinen sich auf die Erfassung von Personen zu konzentrieren, die über die massentypischen und niedrig profilierten Erscheinungsformen exilpolitischer Proteste hinaus Funktionen wahrnehmen und/oder Aktivitäten entwickeln, die sie aus der Masse der mit dem Regime Unzufriedenen herausheben und als ernsthafte und potenziell gefährliche Regimegegner erscheinen lassen. Gemäss Erkenntnissen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keiner allgemeinen Überwachungsgefahr durch iranische Exilbehörden (vgl. BVGE 2009/28 E. 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5.3</w:t>
      </w:r>
    </w:p>
    <w:p>
      <w:r>
        <w:t>Die Beschwerdeführenden begründen ihre Gefährdung bei einer Rückkehr in den Iran im Wesentlichen damit, dass sie zwischen Dezember 2006 und November 2010 als Mitglied der I._______ an zahlreichen gegen das Regime in Teheran gerichteten politischen Aktionen, Protestkundgebungen, Demonstrationen und Standaktionen teilgenommen hätten. Von 2006 bis 2007 sei der Beschwerdeführer für die Logistik der I._______ der Sektion Z._______ verantwortlich gewesen. Von September 2007 bis Frühling 2010 habe er das Amt des Verantwortlichen für Aktivitäten in der Stadt Z._______ wahrgenommen. Er sei damit einer der Hauptverantwortlichen für die zahlreichen Demonstrationen - vor allem vor der iranischen Botschaft - in der Stadt Bern.</w:t>
      </w:r>
    </w:p>
    <w:p>
      <w:r>
        <w:rPr>
          <w:b/>
        </w:rPr>
        <w:t>E. 5.4</w:t>
      </w:r>
    </w:p>
    <w:p>
      <w:r>
        <w:t>Das BFM stellt sich in der angefochtenen Verfügung auf den Standpunkt, den Akten könnten keine Hinweise darauf entnommen werden, dass die iranischen Behörden von der Mitgliedschaft in der I._______ Kenntnis genommen oder gar gestützt darauf irgendwelche Massnahmen zum Nachteil der Beschwerdeführenden eingeleitet hätten. Es gebe in den Akten auch keine Hinweise darauf, dass sich die Aktivitäten der Beschwerdeführenden seit dem Urteil des Bundesverwaltungsgerichts vom 14. November 2007 wesentlich verändert hätten. Daran könne auch der Umstand, dass der Beschwerdeführer seit September 2007 Verantwortlicher der I._______ für Aktivitäten in der Stadt Z._______ sei, nichts ändern, da er sich dadurch nach wie vor nicht in einer hohen und in der Öffentlichkeit exponierten politischen Kaderstelle einer regimekritischen iranischen Organisation befinde. Aus den neu seit dem Urteil des Bundesverwaltungsgerichts vom 14. November 2007 zu berücksichtigenden Dokumenten gehe nach wie vor lediglich eine untergeordnete Beteiligung an exilpolitischen Aktivitäten hervor, die nicht geeignet seien, ein ernsthaftes Verfolgungsinteresse der iranischen Behörden zu wecken. Die Aktivitäten der Beschwerdeführenden würden daher keine konkrete Gefährdung im Falle einer Rückkehr in den Iran begründen. Das Verhalten der Beschwerdeführenden sei nicht geeignet, ein ernsthaftes Vorgehen der iranischen Behörden zu bewirken, zumal auch keine Anhaltspunkte für die Annahme bestehen würden, im Iran seien gegen sie aufgrund der geltend gemachten Aktivitäten behördliche Massnahmen eingeleitet worden. Das politische Profil der Beschwerdeführenden sei daher nicht geeignet, im Fall einer Rückkehr eine konkrete Gefährdung zu bewirken. Daher seien die Voraussetzungen an die Flüchtlingseigenschaft gemäss Art. 3 AsylG nicht erfüllt.</w:t>
      </w:r>
    </w:p>
    <w:p>
      <w:r>
        <w:rPr>
          <w:b/>
        </w:rPr>
        <w:t>E. 5.5</w:t>
      </w:r>
    </w:p>
    <w:p>
      <w:r>
        <w:t>Die Beschwerdeführenden entgegnen in ihrer Beschwerde, sie seien seit Januar 2005 aktive Mitglieder der I._______, einer der aktivsten iranischen Exilorganisationen in der Schweiz, die das aktuelle Regime im Iran bekämpfe. Aufgrund seines grossen Engagements sei dem Beschwerdeführer im September 2006 die Funktion des Logistikverantwortlichen für den Kanton Z._______ übertragen worden. Da er diese Aufgabe gewissenhaft wahrgenommen habe, sei ihm anlässlich der Generalversammlung der I._______ im September 2007 die Hauptverantwortung für deren Aktivitäten in der Stadt Z._______ zugesprochen worden. Er sei verantwortlich für die Organisation der mindestens zwei Mal jährlich stattfindenden Kundgebungen der I._______ vor der iranischen Botschaft in der Stadt Bern. Zudem nehme er regelmässig an Sitzungen der Führungsebene der Vereinigung teil und arbeite eng mit dem Exekutivkomitee und dem Vorsitzenden der I._______ zusammen. Er zähle mit diesen beiden Aufgaben zur Führung der I._______. In der kantonal strukturierten I._______ komme den Kantonsverantwortlichen und dem Verantwortlichen für (...), eine tragende Rolle zu. Dies insbesondere deshalb, weil die wichtigsten Protestaktionen der I._______ - mit mehreren hundert Teilnehmern und einem beträchtlichen Echo in den Medien - jeweils vor dem iranischen Botschaftsgebäude stattfänden. Die Kantons- respektive Städteverantwortlichen stünden sodann in engem Kontakt zum Exekutivkomitee der I._______ und zu den Verantwortlichen anderer Kantone. Hierarchisch unterstehe der Beschwerdeführer direkt dem Exekutivkomitee und stehe somit unbestreitbar in einer hohen Kaderstelle. So sei er bei einer Aktion vor der iranischen Botschaft in Bern in seiner Funktion als Verantwortlicher für (...) Aktivitäten in der Stadt Z._______ zusammen mit dem aktuellen und dem vormaligen Präsidenten der I._______ an die Öffentlichkeit getreten, vor der er zusammen mit den Hauptakteuren der Organisation das Wort ergriffen und die in Persisch verfasste Erklärung zur Demonstration vorgelesen habe. Dadurch habe er sich deutlich exponiert. Die Gefahr, von iranischen Botschaftsmitarbeitern oder von Spitzeln als einer der Anführer oder Hauptverantwortlichen dieser Organisation erkannt zu werden, müsse daher als virulent erachtet werden. Gesamthaft betrachtet hätten die Aktivitäten des Beschwerdeführers ein Ausmass erreicht, das geeignet sei, ein ernsthaftes Vorgehen der iranischen Behörden zu bewirken beziehungsweise eine konkrete Gefährdung der Beschwerdeführenden im Falle einer Rückkehr in ihr Herkunftsland zu begründen.</w:t>
      </w:r>
    </w:p>
    <w:p>
      <w:r>
        <w:rPr>
          <w:b/>
        </w:rPr>
        <w:t>E. 6.1</w:t>
      </w:r>
    </w:p>
    <w:p>
      <w:r>
        <w:t>Es sind vorliegend keine Gründe ersichtlich, am exilpolitischen Engagement des Beschwerdeführers zu zweifeln, zumal dieses umfassend dokumentiert ist. Es ist deshalb als erstellt zu erachten, dass der Beschwerdeführer Mitglied der I._______ war, er an verschiedenen Demonstrationen und Standaktionen dieses Vereins teilnahm und innerhalb des Vereins zuerst das Amt des Logistikverantwortlichen und später das Amt des Verantwortlichen für die Stadt Z._______ innehatte. Diesbezüglich ist jedoch festzuhalten, dass der Beschwerdeführer gemäss Schreiben vom 27. Januar 2011 im Frühjahr 2010 aus der I._______ austrat, und er daher auch seine geltend gemachte "Kader"-Tätigkeit aufgab.</w:t>
      </w:r>
    </w:p>
    <w:p>
      <w:r>
        <w:rPr>
          <w:b/>
        </w:rPr>
        <w:t>E. 6.2.1</w:t>
      </w:r>
    </w:p>
    <w:p>
      <w:r>
        <w:t>Es stellt sich in diesem Zusammenhang zunächst die Frage, ob der Beschwerdeführer bereits in seinem Heimatland politisch aktiv war. Hierzu ist festzuhalten, dass er im ersten Asylgesuch im Jahr 2003 geltend machte, im Iran Probleme mit den Sicherheitskräften gehabt zu haben, da er im Anschluss an eine Kundgebung festgenommen und verurteilt worden sei. Bei der Anhörung zum ersten Asylgesuch vom 24. November 2003 gab er allerdings an, in L._______ "nur gelegentlich" an Kundgebungen teilgenommen zu haben (vgl. BFM act. A 1/10 S. 5). Als die Frage wiederholt wurde, antwortete er, dass er zwei oder drei Mal an einer Kundgebung teilgenommen habe (vgl. a.a.O.). Bereits dem ersten rechtskräftig abgeschlossenen Asylverfahren des Beschwerdeführers ist zu entnehmen, dass die Beschwerdeführenden weder eine Vorverfolgung noch eine zum Zeitpunkt der Ausreise aktuell bestehende flüchtlingsrechtlich relevante Verfolgung nachzuweisen oder glaubhaft zu machen vermochten. Anlässlich der Anhörung zu ihrem zweiten Asylgesuch im Jahr 2008 erwähnte weder der Beschwerdeführer noch seine Frau eine entsprechende politische Aktivität in ihrem Heimatland (vgl. hierzu act. B 7/13 je S. 3-5). Sie machten diesbezüglich auch keine in einem politischen Kontext stehende Verfolgung durch die iranischen Behörden geltend. Es kann daher ausgeschlossen werden, dass sie vor dem Verlassen ihres Heimatlandes als regimefeindliche Personen ins Blickfeld der iranischen Behörden oder Nachrichtendienste gerieten und als staatsgefährdender Politaktivisten registriert wurden (vgl. die Praxis des Bundesverwaltungsgerichts in BVGE 2009/28 E. 7.4.3 S. 364 f.). Es ist zudem anerkannt, dass nicht jede Exilaktivität zur Flüchtlingseigenschaft führt. Der Beschwerdeführer nahm - so seine eigenen Aussagen - gut drei Jahre nach Einreichung des ersten Asylgesuchs erstmals an einer politischen Versammlung teil. Seit 2005 sei er Mitglied des I._______. Auf die Frage, warum er erst seit diesem Datum tätig geworden sei, antwortete er, in der Schweiz seien viele Oppositionsorganisationen aktiv. Er habe zuerst deren Ideologie prüfen wollen, bevor er sich entscheide, einer von ihnen beizutreten. Die diesbezüglichen Aussagen anlässlich seiner Anhörung sind indessen sehr pauschal und allgemein gehalten und können nicht überzeugen. Zudem ist festzuhalten, dass die Aktivitäten des Beschwerdeführers zwar ab 2006 über die blosse Mitgliedschaft in der I._______ hinausgingen. Allerdings sind die geltend gemachten Aufgaben des Beschwerdeführers in der I._______ nicht geeignet, die Aufmerksamkeit der iranischen Behörden auf sich zu ziehen. Gemäss seinen Aussagen war er als Zuständiger für die Aktivitäten in der Stadt Z._______ dafür verantwortlich, die Räumlichkeiten für die Versammlungen zu reservieren und die Traktanden sowie Informationen vorzubereiten, die an der Versammlung an die Mitglieder verteilt wurden. Zudem habe er Demonstrationen organisiert und sei dafür zuständig gewesen, die Zeitschrift Y._______ zu verteilen. Als Vertreter der I._______ für die Stadt Z._______ sei sein Name jeweils mit Angabe seiner privaten Telefonnummer auf der letzten Seite jeder Ausgabe der Zeitschrift in der Liste der Organisationsverantwortlichen der I._______ für die Schweiz und das Ausland vermerkt gewesen. Es ist aber nicht davon auszugehen, dass die iranischen Behörden aufgrund dieser Aktivitäten des Beschwerdeführers für die I._______ und seiner Teilnahme an den friedlichen Demonstrationen und Standaktionen gegen das iranische Regime in der Schweiz auf ihn aufmerksam wurden, auch wenn von diesen Veranstaltungen Berichte und Fotos im Internet veröffentlicht wurden und ein Interview mit dem Beschwerdeführer anlässlich einer Demonstration in Z._______ in einer Sendung des Regionalfernsehsenders (...) ausgestrahlt wurde. Zwar wurde der Name des Beschwerdeführers im in Dialekt geführten Interview einmal erwähnt, die Demonstration spielte sich jedoch in einem kleinen Rahmen ab und fand weder in den nationalen noch in den internationalen Medien ein Echo. Zudem wurde der Beschwerdeführer in diesem Interview nicht als ein führendes Mitglied der I._______ dargestellt. Ebenso ist den Akten nicht zu entnehmen, dass der Beschwerdeführer selber kritische Äusserungen über das iranische Regime publizierte, die unter seinem Namen erschienen wären. Dies wird in der Beschwerde auch nicht geltend gemacht. Seine exilpolitischen Tätigkeiten lassen ihn daher nicht als ernsthaften und potenziell gefährlichen Regimegegner erscheinen. Zudem trat er im Frühjahr 2010 aus der I._______ aus. Die in der Eingabe vom 27. Januar 2011 dargestellte Absicht, "vermehrt selbständig stehende Protestkundgebungen" zu veranstalten, wurde nicht weiter konkretisiert. Es wird zudem nicht substanziiert, inwiefern die einmalige Bewilligung vom (...) für eine vom Beschwerdeführer veranstaltete Kundgebung vom (...) den iranischen Behörden bekannt wurde. Im Ergebnis ist festzuhalten, dass der Beschwerdeführer keinen Bekanntheitsgrad erreicht, bei dem angenommen werden müsste, dass die iranischen Behörden auf ihn aufmerksam geworden seien und er dadurch konkret gefährdet würde. Das politische Engagement der Beschwerdeführerin beschränkt sich auf die Teilnahme an Kundgebungen und lässt sie nicht als exponierte Führungsperson erscheinen, weshalb nicht davon auszugehen ist, sie habe das Interesse der iranischen Behörden an ihrer Person auf sich gezogen.</w:t>
      </w:r>
    </w:p>
    <w:p>
      <w:r>
        <w:rPr>
          <w:b/>
        </w:rPr>
        <w:t>E. 6.2.2</w:t>
      </w:r>
    </w:p>
    <w:p>
      <w:r>
        <w:t>Sodann sind weder den Akten noch den Aussagen der Beschwerdeführenden Hinweise darauf zu entnehmen, dass die iranischen Behörden tatsächlich auf sie aufmerksam geworden wären oder ihre im Iran verbliebenen Familienangehörigen irgendwelchen Verfolgungshandlungen seitens der iranischen Behörden ausgesetzt gewesen wären. Der Hinweis auf ein Urteil des Bundesverwaltungsgericht, mit welchem die betreffenden Beschwerdeführenden infolge exilpolitischer Tätigkeit von weit geringerem Umfang als Flüchtlinge anerkannt worden seien, ist unbehelflich, weil ein mit dem vorliegenden Verfahren nicht vergleichbarer Sachverhalt vorlag. Das Gebot rechtsgleicher Behandlung ist somit nicht verletzt. Zusammenfassend ist festzustellen, dass die geltend gemachten exilpolitischen Aktivitäten - auch kumuliert - nicht geeignet sind, eine flüchtlingsrechtlich relevante Verfolgungsfurcht der Beschwerdeführenden bei einer Rückkehr in den Iran zu begründen. Das BFM hat damit zu Recht festgestellt, die Beschwerdeführenden erfüllten die Flüchtlingseigenschaft nicht.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als zulässig zu beurteilen.</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Im Iran besteht keine Situation allgemeiner Gewalt, die sich über das ganze Staatsgebiet oder weite Teile desselben erstrecken würden. Es besteht mit anderen Worten keine gänzlich unsichere, von bewaffneten Konflikten oder permanent drohenden Unruhen dominierte Lage, aufgrund derer die Beschwerdeführenden sich bei einer Rückkehr unvermeidlich einer konkreten Gefährdung ausgesetzt sehen würden.</w:t>
      </w:r>
    </w:p>
    <w:p>
      <w:r>
        <w:rPr>
          <w:b/>
        </w:rPr>
        <w:t>E. 7.4.3</w:t>
      </w:r>
    </w:p>
    <w:p>
      <w:r>
        <w:t>Aufgrund der Aktenlage besteht zudem kein Grund zur Annahme, die Beschwerdeführenden gerieten im Fall einer Rückkehr in den Iran aus individuellen Gründen wirtschaftlicher, sozialer oder gesundheitlicher Natur in eine existenzbedrohende Situation, die den Vollzug der Wegweisung unzumutbar erscheinen lassen. Die Beschwerdeführenden führen insbesondere keine gesundheitlichen Beschwerden an. Der Beschwerdeführer absolvierte ein Architekturstudium an der (...) Universität in P._______ und verfügt über einen akademischen Abschluss. Gemäss eigenen Angaben führte er in L._______ ein eigenes Geschäft. Es ist nicht in Abrede zu stellen, dass die Beschwerdeführenden bei einer Rückkehr in ihren Heimatstaat aufgrund der langen Landesabwesenheit mit Schwierigkeiten konfrontiert sein könnten. Indessen verfügen sie sowohl in L._______ als auch in M._______ über ein familiäres Beziehungsnetz. Gemäss Angaben des Beschwerdeführers wohnen seine Eltern, sein Bruder und seine Schwester in L._______. Die Eltern, zwei Brüder und eine Schwester der Beschwerdeführerin wohnen in M._______.</w:t>
      </w:r>
    </w:p>
    <w:p>
      <w:r>
        <w:rPr>
          <w:b/>
        </w:rPr>
        <w:t>E. 7.4.4</w:t>
      </w:r>
    </w:p>
    <w:p>
      <w:r>
        <w:t>Sind von einem allfälligen Wegweisungsvollzug Kinder betroffen, bildet das Kindeswohl einen zentralen Gesichtspunkt im Rahmen der Zumutbarkeitsprüfung. Dies ergibt sich nicht zuletzt aus einer völkerrechtskonformen Auslegung von Art. 83 Abs. 4 AuG im Licht von Art. 3 Abs. 1 KRK.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EMARK 2005 Nr. 6 E. 6 S. 55 ff. mit weiteren Hinweisen). Die Beschwerdeführenden halten sich seit ihrer Einreise am 18. November 2003 in der Schweiz auf. Die Kinder der Beschwerdeführenden sind beide noch minderjährig. Der am F._______ geborene Sohn E._______ verbrachte zwar fast sein ganzes Leben in der Schweiz; aufgrund seines Alters und der damit verbundenen engen Bezogenheit auf die nächsten Familienmitglieder ist aber nicht davon auszugehen, dass er sich in der Schweiz bereits derart stark assimiliert hätte, dass eine Rückkehr in den Iran als unzumutbar erscheinen würde. Dabei ist anzufügen, dass die anwaltlich vertretenen Beschwerdeführenden hierzu nichts Näheres vorbrachten und insbesondere auch nicht geltend machten, ihr Sohn sei in der Schweiz bereits derart stark verwurzelt, dass eine Rückkehr in den Iran ihn in unzumutbarer Weise belasten würde. Dasselbe gilt für die am H._______ geborene, nunmehr (...)-jährige Tochter G._______. Sie hat aufgrund ihres Alters noch nicht die für ihre Persönlichkeit prägenden Lebensabschnitte in der Schweiz verbracht und ist im Wesentlichen von ihren Eltern abhängig. Es liegen zudem insbesondere auch keine Hinweise darauf vor, dass die Kinder der Beschwerdeführenden mit ihrer Muttersprache nicht vertraut wären.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in Anbetracht des ausserordentlichen Umfanges der Akten auf insgesamt Fr. 900.- festzusetzen (Art. 1 - 3 des Reglements vom 21. Februar 2008 über die Kosten und Entschädigungen vor dem Bundesverwaltungsgericht [VGKE, SR 173.320.2]) und mit dem am 5. Mai 2008 in der Höhe von Fr. 600.- geleisteten Kostenvorschuss zu verrechnen. Der Saldobetrag von Fr. 300.- ist nachzuzahlen.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