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D-1982/2022 vom 30. März 2022</w:t>
      </w:r>
    </w:p>
    <w:p>
      <w:r>
        <w:t>Bundesverwaltungsgericht, 2022-03-30, DE</w:t>
      </w:r>
    </w:p>
    <w:p>
      <w:r>
        <w:rPr>
          <w:b/>
        </w:rPr>
        <w:t xml:space="preserve">Quelle: </w:t>
      </w:r>
      <w:r>
        <w:t>https://mcp.opencaselaw.ch/entscheid/bvger_D-1982_2022_d20220330</w:t>
      </w:r>
    </w:p>
    <w:p>
      <w:r>
        <w:t>FR: TAF D-1982/2022 du 30 mars 2022</w:t>
      </w:r>
    </w:p>
    <w:p>
      <w:r>
        <w:t>IT: TAF D-1982/2022 del 30 marzo 2022</w:t>
      </w:r>
    </w:p>
    <w:p>
      <w:pPr>
        <w:pStyle w:val="Heading2"/>
      </w:pPr>
      <w:r>
        <w:t>Regeste</w:t>
      </w:r>
    </w:p>
    <w:p>
      <w:r>
        <w:t>Familienzusammenf&amp;uuml;hrung (Asyl) | Familienzusammenführung (Asyl); Verfügung des SEM vom 30.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51 Abs. 1 AsylG werden Ehegatten von asylberechtigten Flüchtlingen und ihre minderjährigen Kinder ihrerseits als Flüchtlinge aner- kannt und erhalten Asyl, wenn keine besonderen Umstände dagegenspre- chen. Wurden die anspruchsberechtigten Personen nach Art. 51 Abs. 1 AsylG durch die Flucht getrennt und befinden sie sich im Ausland, so ist ihre Einreise auf Gesuch hin zu bewilligen (Art. 51 Abs. 4 AsylG). Die Er- teilung einer Einreisebewilligung setzt eine vorbestandene Familienge- meinschaft sowie die fest beabsichtigte Familienvereinigung in der</w:t>
      </w:r>
    </w:p>
    <w:p>
      <w:r>
        <w:t>D-1982/2022 Seite 5 Schweiz voraus. Zweck der Bestimmung von Art. 51 Abs. 4 AsylG ist einzig die Wiedervereinigung von im Zeitpunkt der Flucht aus dem Heimatstaat vorbestandenen Familiengemeinschaften und nicht die Aufnahme neuer respektive vor der Flucht aus dem Heimatstaat noch nicht gelebter familiä- rer Beziehungen (vgl. BVGE 2018 VI/6 E. 5, 2017 VI/4 E. 3.1 und E. 4.4.2, BVGE 2012/32 E. 5.1).</w:t>
      </w:r>
    </w:p>
    <w:p>
      <w:r>
        <w:rPr>
          <w:b/>
        </w:rPr>
        <w:t>E. 4.2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5.1</w:t>
      </w:r>
    </w:p>
    <w:p>
      <w:r>
        <w:t>Dem Beschwerdeführer wurde mit Verfügung des SEM vom 9. Februar 2022 die Flüchtlingseigenschaft zuerkannt und es wurde ihm hierzulande Asyl gewährt. Die Ehefrau und die minderjährigen Kinder gehören grund- sätzlich zum Kreis der anspruchsberechtigten Personen für die Zuerken- nung der derivativen Flüchtlingseigenschaft gemäss Art. 51 Abs. 1 AsylG.</w:t>
      </w:r>
    </w:p>
    <w:p>
      <w:r>
        <w:rPr>
          <w:b/>
        </w:rPr>
        <w:t>E. 5.2</w:t>
      </w:r>
    </w:p>
    <w:p>
      <w:r>
        <w:t>Weiter ist zu prüfen, ob der Beschwerdeführer im Heimatland mit den Personen, für die er den Nachzug beantragte, eine Familiengemeinschaft gebildet hat. Aus den Vorbringen des Beschwerdeführers ergibt sich, dass er die Türkei im Kindesalter Ende (…), anfangs (…) definitiv verlassen und seither im Irak gelebt hat. Es ist unbestritten, dass zwischen ihm und B._______, die ebenfalls türkische Staatsangehörige sei, noch keine Fa- miliengemeinschaft bestanden hat, als er im Kindesalter aus der Türkei ausgereist ist. Sie hätten sich vielmehr erst im Irak kennengelernt, wo sie (…) geheiratet hätten und auch ihre Kinder in den Folgejahren zur Welt gekommen seien. Mangels des Bestehens einer Familiengemeinschaft im Zeitpunkt der Flucht des Beschwerdeführers aus seinem Heimatland (Tür- kei), sind die Voraussetzungen für die asylrechtliche Familienzusammen- führung gemäss Art. 51 Abs. 1 und 4 AsylG nicht erfüllt. Der Einwand des Beschwerdeführers in der Rechtsmitteleingabe vom 29. April 2022, dass hinsichtlich der von Art. 51 Abs. 4 AsylG geforderten «Trennung durch die Flucht» sein Weggang aus dem Irak im Jahr 2021 als relevant zu erachten sei, vermag nicht zu greifen. Die Trennung einer Familie in einem Drittstaat infolge der Weiterreise nur eines Familienmitglieds stellt zwar eine mögli- che Konstellation des Anwendungsbereichs von Art. 51 Abs. 4 AsylG dar, aber auch dann setzt das Erfordernis der «Trennung durch die Flucht» vo-</w:t>
      </w:r>
    </w:p>
    <w:p>
      <w:r>
        <w:t>D-1982/2022 Seite 6 raus, dass die Familiengemeinschaft bereits im Zeitpunkt der (gemeinsa- men) Flucht aus dem Heimatland des asylberechtigten Flüchtlings bestan- den hat, welche dann eben erst im Drittstaat getrennt wurde (vgl. BVGE 2020 VI/1 E. 8.1-8.4). Eine solche Konstellation einer gemeinsam angetre- tenen Flucht aus dem Heimatland der in der Schweiz als Flüchtling aner- kannten Person mit anschliessender Trennung in einem Drittstaat ist vor- liegend – wie festgestellt – nicht gegeben. Der Beschwerdeführer und die Angehörigen, für die er das Familienzusammenführungsgesuch gestellt hat, sind nicht zusammen als Familiengemeinschaft aus der Türkei in den Drittstaat Irak geflohen, sondern die Familie wurde erst viele Jahre nach der Flucht des Beschwerdeführers aus seinem Heimatland im Irak gegrün- det. Folglich ist die Voraussetzung des Bestehens der Familiengemein- schaft in dem Staat, gegenüber welchem dem Flüchtling Asyl gewährt wurde (vorliegend: Türkei), nicht erfüllt (vgl. bspw. auch Urteil des BVGer E-594/2022 vom 23. Februar 2022).</w:t>
      </w:r>
    </w:p>
    <w:p>
      <w:r>
        <w:rPr>
          <w:b/>
        </w:rPr>
        <w:t>E. 5.3</w:t>
      </w:r>
    </w:p>
    <w:p>
      <w:r>
        <w:t>Auch das Übereinkommen über die Rechte des Kindes vom 20. No- vember 1989 (KRK, SR 0.107) vermag zu keiner anderen Einschätzung zu führen, da dieses weder dem Kind noch einem Elternteil ein Recht zur Ein- reise und zum Aufenthalt in der Schweiz im Sinne einer Familienzusam- menführung gewährt (vgl. Botschaft des Bundesrats betreffend den Beitritt der Schweiz zur KRK vom 29. Juni 1994 BBl 1994 V 1 ff., bezüglich Art. 10 KRK S. 33 ff. und 73 f.; BGE 126 II 377 E. 5d S. 392 und 124 II 361 E. 3b S. 367). Abschliessend bleibt anzumerken, dass weder Art. 8 EMRK noch die Bestimmungen des UNO-Pakts II über bürgerliche und politische Rechte (Internationaler Pakt über bürgerliche und politische Rechte vom 16. Dezember 1966, SR 0.103.2) ergänzend angewendet werden können, wenn die Voraussetzungen des Familienasyls gemäss Art. 51 AsylG nicht erfüllt sind (vgl. bspw. Urteile des BVGer D-2039/2020 vom 20. November 2020 E. 5.4 und D-5237/2019 vom 6. Januar 2020 E. 3.3). Wie das SEM in seiner Verfügung vom 30. März 2022 bereits festgehalten hat, bleibt es dem Beschwerdeführer aber unbenommen, gegebenenfalls bei den dafür zuständigen kantonalen Migrationsbehörden ein Gesuch um Familien- nachzug gestützt auf die entsprechenden ausländerrechtlichen Bestim- mungen (Art. 42 ff. AIG [SR 142.20]) einzureichen (vgl. BVGE 2017 VI/4 E. 3.1 m.w.H.).</w:t>
      </w:r>
    </w:p>
    <w:p>
      <w:r>
        <w:rPr>
          <w:b/>
        </w:rPr>
        <w:t>E. 5.4</w:t>
      </w:r>
    </w:p>
    <w:p>
      <w:r>
        <w:t>Zusammenfassend hat das SEM das Gesuch um Familienzusammen- führung im Sinne von Art. 51 Abs. 1 und 4 AsylG zu Recht abgelehnt und der Ehefrau und den Kindern des Beschwerdeführers die Einreise in die Schweiz folgerichtig verweigert.</w:t>
      </w:r>
    </w:p>
    <w:p>
      <w:r>
        <w:t>D-1982/2022 Seite 7</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Mit vorliegendem Urteil ist das Beschwerdeverfahren abgeschlossen, wes- halb sich der Antrag auf Verzicht auf die Erhebung eines Kostenvorschus- ses als gegenstandslos erweist.</w:t>
      </w:r>
    </w:p>
    <w:p>
      <w:r>
        <w:rPr>
          <w:b/>
        </w:rPr>
        <w:t>E. 8.1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Bedürftigkeit des Beschwerdeführers – nicht erfüllt sind.</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D-1982/2022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