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D-1982/2009 vom 6. August 2009</w:t>
      </w:r>
    </w:p>
    <w:p>
      <w:r>
        <w:t>Bundesverwaltungsgericht, 2009-08-06, DE</w:t>
      </w:r>
    </w:p>
    <w:p>
      <w:r>
        <w:rPr>
          <w:b/>
        </w:rPr>
        <w:t xml:space="preserve">Quelle: </w:t>
      </w:r>
      <w:r>
        <w:t>https://mcp.opencaselaw.ch/entscheid/bvger_D-1982_2009</w:t>
      </w:r>
    </w:p>
    <w:p>
      <w:r>
        <w:t>FR: TAF D-1982/2009 du 6 août 2009</w:t>
      </w:r>
    </w:p>
    <w:p>
      <w:r>
        <w:t>IT: TAF D-1982/2009 del 6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Hinsichtlich der Glaubhaftigkeit der Vorbringen des Beschwerdeführers ist festzustellen, dass aufgrund seiner Aussagen erhebliche Zweifel bestehen, ob er die von ihm geschilderten Ereignisse tatsächlich erlebt hat. So fällt insbesondere auf, dass die Ausführungen betreffend die Verdächtigungen der Behörden, er habe sich in einem PKK-Lager als Selbstmordattentäter ausbilden lassen und mehrere Attentate in der Türkei ausgeübt, zu wenig detailliert ausgefallen sind. Da der Beschwerdeführer überdies bis zum Tötungsdelikt im November 2003 nie irgendwelchen Problemen mit den heimatlichen Behörden ausgesetzt gewesen sein will, sind diese jedoch unglaubhaft. Seine Ausführungen betreffend die PKK-Aktivitäten sind zudem realitätsfremd und unplausibel, gab es doch weder ernsthafte Ermittlungshandlungen seitens der Behörden noch ein Festnahmeversuch. Der Beschwerdeführer hat keinerlei Vorsichtsmassnahmen getroffen, um nicht gefasst zu werden. Auch die übrigen Familienangehörigen hatten keine asylrelevanten Probleme mit den Behörden. In Kenntnis der realen Gegebenheiten in der Türkei ist jedoch davon auszugehen, dass die Fahndungsbehörden alles daran gesetzt hätten, etwas über den Beschwerdeführer in Erfahrung zu bringen, beziehungsweise bei einem entsprechenden Verdacht auch die Familienangehörigen in die Ermittlungen einbezogen hätten. Dies ist im vorliegenden Fall jedoch offensichtlich nicht geschehen, was gegen die vom Beschwerdeführer behauptete und befürchtete Gefährdungslage in der Türkei spricht. In Übereinstimmung mit der Vorinstanz hält das Bundesverwaltungsgericht fest, dass seine Schilderungen betreffend die oben erwähnten Anschuldigungen eine persönliche Betroffenheit und eine subjektiv geprägte Wahrnehmung vermissen lassen und insgesamt unglaubhaft, realitätsfremd und unplausibel sind.</w:t>
      </w:r>
    </w:p>
    <w:p>
      <w:r>
        <w:rPr>
          <w:b/>
        </w:rPr>
        <w:t>E. 5.2</w:t>
      </w:r>
    </w:p>
    <w:p>
      <w:r>
        <w:t>Der Beschwerdeführer bringt weiter vor, wegen eines im Zusammenhang mit einer privaten Auseinandersetzung verübten Tötungsdelikts in der Türkei bezichtigt zu werden. Er streitet die Tat nicht ab. Eine entsprechende Strafverfolgung ist rechtsstaatlich legitim. Zudem ergeben sich aus den entsprechenden Akten keinerlei Hinweise, dass es sich vorliegend um eine politische oder ethnisch motivierte Anklageerhebung handelt. Da der Beschwerdeführer diese Tat in Notwehr ausgeführt haben will, hat er keine Bestrafung zu befürchten. Dieses Vorbringen ist deshalb asylrechtlich unbeachtlich.</w:t>
      </w:r>
    </w:p>
    <w:p>
      <w:r>
        <w:rPr>
          <w:b/>
        </w:rPr>
        <w:t>E. 5.3</w:t>
      </w:r>
    </w:p>
    <w:p>
      <w:r>
        <w:t>Überdies sprechen auch die beiden erfolglos durchlaufenen Asylverfahren in D._______ und E._______ für die fehlende Verfolgung des Beschwerdeführers in seiner Heimat.</w:t>
      </w:r>
    </w:p>
    <w:p>
      <w:r>
        <w:rPr>
          <w:b/>
        </w:rPr>
        <w:t>E. 5.4</w:t>
      </w:r>
    </w:p>
    <w:p>
      <w:r>
        <w:t>Zusammenfassend hält das Bundesverwaltungsgericht fest, dass die geltend gemachten Nachteile, welchen den Beschwerdeführer 2004 angeblich zur Flucht getrieben haben, unglaubhaft sind, da sie nicht genügend substanziiert und weder schlüssig noch plausibel sind. Überdies sind sie in wesentlichen Punkten widersprüchlich, entbehren der inneren Logik und widersprechen der allgemeinen Erfahrung.</w:t>
      </w:r>
    </w:p>
    <w:p>
      <w:r>
        <w:rPr>
          <w:b/>
        </w:rPr>
        <w:t>E. 5.5</w:t>
      </w:r>
    </w:p>
    <w:p>
      <w:r>
        <w:t>Zu prüfen bleibt, ob der Beschwerdeführer subjektive Nachfluchtgründe geltend machen kann.</w:t>
      </w:r>
    </w:p>
    <w:p>
      <w:r>
        <w:rPr>
          <w:b/>
        </w:rPr>
        <w:t>E. 5.6</w:t>
      </w:r>
    </w:p>
    <w:p>
      <w:r>
        <w:t>Gemäss Erkenntnissen des Bundesverwaltungsgerichts ist zwar davon auszugehen, dass die türkischen Sicherheitsbehörden die Aktivitäten der jeweiligen Exilgemeinschaften in einem gewissen Ausmass überwachen und mittels elektronischer Datenbanken registrieren. Von Bedeutung ist vorliegend die tatsächliche Erkennbarkeit der behaupteten exilpolitischen Tätigkeit, die Individualisierbarkeit des Beschwerdeführers sowie seine konkrete exilpolitische Tätigkeit. Ein exponierter exilpolitischer Einsatz des Beschwerdeführers, der ihn ins Zentrum des Interesses des türkischen Nachrichtendienstes rücken könnte, ist aufgrund der vorliegenden Akten zu verneinen. Der Beschwerdeführer hat zwar verschiedene Dokumente eingereicht, die ihn bei Kundgebungen zeigen, ansonsten brachte er jedoch kein weiterreichendes exilpolitisches Engagement in der Schweiz vor. In diesem Zusammenhang ist festzuhalten, dass bei behaupteten subjektiven Nachfluchtgründen in der Regel ein strikter Beweis möglich und deshalb erforderlich ist (vgl. WALTER STÖCKLI, Asyl, in: PETER UEBERSAX/PETER MÜNCH/THOMAS GEISER/MARTIN ARNOLD {Hrsg.} Ausländerrecht, Handbücher für die Anwaltspraxis, Band VIII, Basel u.a. 2002, S. 365 Rz. 8.125).</w:t>
      </w:r>
    </w:p>
    <w:p>
      <w:r>
        <w:rPr>
          <w:b/>
        </w:rPr>
        <w:t>E. 5.7</w:t>
      </w:r>
    </w:p>
    <w:p>
      <w:r>
        <w:t>Entgegen den anderslautenden Ausführungen in der Beschwerdeeingabe, ist es unwahrscheinlich, dass die türkischen Sicherheitsbehörden sich explizit für das sich an der Teilnahme an Kundgebungen erschöpfende Engagement des Beschwerdeführers für die FEKAR und die PKK interessieren. Es ist davon auszugehen, dass die türkischen Behörden nur dann ein Interesse an der Identifizierung einer Person haben, wenn deren Aktivitäten als konkrete Bedrohung für das politische System wahrgenommen werden. Für die Annahme, der Beschwerdeführer habe sich in dieser besonderen Art und Weise betätigt, bestehen keine Anhaltspunkte. Er gehört mit Sicherheit nicht zur Zielgruppe des "harten Kerns" von aktiven oppositionellen Kurden im Ausland, für die sich die türkischen Behörden interessieren. Der Beschwerdeführer reichte keine Beweismittel ein, die ihn in einer Kaderposition oder einer sonstigen exponierten Stellung in der entsprechenden Partei zeigen würden. Wieweit er mit seinen angeblichen politischen Aktivitäten in der Schweiz (oder in einem anderen Staat ausserhalb seiner Heimat) in eine solche leitende Parteifunktion hineingewachsen sein soll, vermag der Beschwerdeführer nicht genügend substanziiert vorzubringen. Sein politisches Engagement in der Schweiz (oder einem anderen Drittstaat) muss demnach als geringfügig bezeichnet werden. Es ist deshalb davon auszugehen, dass der Beschwerdeführer, welcher in der Türkei bezeichnenderweise keine politische Tätigkeit glaubhaft machen konnte, bei einer Rückkehr in sein Heimatland keine asylrechtlich relevante Gefährdung zu befürchten, sondern abgesehen von Abklärungen im Zusammenhang mit dem von ihm seinerzeit in der Türkei verübten Tötungsdelikt (vgl. vorstehend E. 5.2) lediglich mit den üblichen Routinebefragungen zu rechnen hat. Im vorliegenden Verfahren fehlen jegliche stichhaltige Hinweise darauf, dass gegen den Beschwerdeführer aufgrund der vorgebrachten politischen Aktivitäten in der Schweiz in seinem Heimatstaat ein Strafverfahren oder andere behördliche Massnahmen eingeleitet worden sind. In diesem Zusammenhang ist unter Hinweis auf die in Art. 8 AsylG verankerte Mitwirkungspflicht festzuhalten, dass es nicht Sache der schweizerischen Asylbehörden sein kann, jede auch nur ansatzweise und abstrakt mögliche Gefährdungssituation im Heimatland des Beschwerdeführers abklären zu müssen. Subjektive Nachfluchtgründe im Sinne von Art. 54 AsylG liegen demnach nicht vor, weshalb die Vorinstanz zu Recht die Flüchtlingseigenschaft des Beschwerdeführers verneint hat. Die erhobene Rüge erweist sich als unbegründet.</w:t>
      </w:r>
    </w:p>
    <w:p>
      <w:r>
        <w:rPr>
          <w:b/>
        </w:rPr>
        <w:t>E. 5.8</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Vorliegend ist der Vollzug als zumutbar zu erachten, weil keine Hinweise dafür erkennbar sind, der Beschwerdeführer wäre bei einer Rückkehr in die Türkei aufgrund der allgemeinen Lage einer konkreten Gefährdung ausgesetzt. Das Bundesverwaltungsgericht erachtet den Wegweisungsvollzug in die Türkei gestützt auf die allgemeine Lage als generell zumutbar.</w:t>
      </w:r>
    </w:p>
    <w:p>
      <w:r>
        <w:rPr>
          <w:b/>
        </w:rPr>
        <w:t>E. 7.6</w:t>
      </w:r>
    </w:p>
    <w:p>
      <w:r>
        <w:t>Der gestützt auf die Aktenlage junge und gesunde Beschwerdeführer verfügt in seinem Heimatland über ein tragfähiges Beziehungsnetz, auf das er sich bei seiner Rückkehr stützen kann. In der Türkei leben sowohl seine Eltern als auch ein Bruder und eine Schwester. Zudem hat der Beschwerdeführer gemäss eigenen Angaben vor seiner Ausreise als Arbeiter auf der Schiffswerft in J._______ bei C._______ gearbeitet. Er kann sich also beispielsweise nach seiner Rückkehr wiederum in diesem oder einem ähnlichen Metier betätigen. Die Rückkehrhilfe der Schweiz wird ihm den Wiedereinstieg in seinem Heimatland ebenfalls erleichtern können. Unter diesen Umständen dürfte die Wiedereingliederung in seinem Heimatland möglich sein. Die anlässlich der Befragung und der Anhörung vorgebrachten psychischen Probleme untermauert der Beschwerdeführer mit keinerlei Beweisakten (beispielsweise einem Bericht eines Facharztes) und erwähnt diese in seinen Beschwerdevorbringen mit keinem Wort mehr. Das Bundesverwaltungsgericht geht deshalb davon aus, dass der Beschwerdeführer momentan keine psychischen Probleme plagen und er auch nicht in psychiatrischer Behandlung ist. Ausserdem ist eine angemessene Behandlung allfälliger psychischer Beschwerden auch in der Türkei gewährleistet, weshalb sich weitere Ausführungen zu diesem Punkt erübrigen. Überdies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diesbezüglich als zumutbar zu bezeichnen ist.</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8. April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