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D-1981/2021 vom 25. Mai 2021</w:t>
      </w:r>
    </w:p>
    <w:p>
      <w:r>
        <w:t>Bundesverwaltungsgericht, 2021-05-25, FR</w:t>
      </w:r>
    </w:p>
    <w:p>
      <w:r>
        <w:rPr>
          <w:b/>
        </w:rPr>
        <w:t xml:space="preserve">Quelle: </w:t>
      </w:r>
      <w:r>
        <w:t>https://mcp.opencaselaw.ch/entscheid/bvger_D-1981_2021</w:t>
      </w:r>
    </w:p>
    <w:p>
      <w:r>
        <w:t>FR: TAF D-1981/2021 du 25 mai 2021</w:t>
      </w:r>
    </w:p>
    <w:p>
      <w:r>
        <w:t>IT: TAF D-1981/2021 del 25 maggio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dans ce cas définitivement, sauf demande d'extradition déposée par l'Etat dont le requérant cherche à se protéger (art. 83 let. d ch. 1 LTF).</w:t>
      </w:r>
    </w:p>
    <w:p>
      <w:r>
        <w:rPr>
          <w:b/>
        </w:rPr>
        <w:t>E. 1.2</w:t>
      </w:r>
    </w:p>
    <w:p>
      <w:r>
        <w:t>A._______ a qualité pour recourir (art. 48 al. 1 PA). Présenté dans la forme (art. 52 al. 1 PA) et le délai (art. 10 de l'ordonnance du 1er avril 2020 sur les mesures prises dans le domaine de l'asile en raison du coronavirus [RS 142.318] en lien avec l'art. 108 al. 1 LAsi) prescrits par la loi, son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w:t>
      </w:r>
    </w:p>
    <w:p>
      <w:r>
        <w:rPr>
          <w:b/>
        </w:rPr>
        <w:t>E. 3</w:t>
      </w:r>
    </w:p>
    <w:p>
      <w:r>
        <w:t>Il est renoncé à un échange d'écritures (art. 111a al. 1 LAsi).</w:t>
      </w:r>
    </w:p>
    <w:p>
      <w:r>
        <w:rPr>
          <w:b/>
        </w:rPr>
        <w:t>E. 4</w:t>
      </w:r>
    </w:p>
    <w:p>
      <w:r>
        <w:t>Il convient en premier lieu d'examiner le bien-fondé de la conclusion subsidiaire sur le renvoi de la cause au SEM, en particulier au regard du grief formel formulé dans le recours (violation de l'obligation de motiver).</w:t>
      </w:r>
    </w:p>
    <w:p>
      <w:r>
        <w:rPr>
          <w:b/>
        </w:rPr>
        <w:t>E. 4.1.1</w:t>
      </w:r>
    </w:p>
    <w:p>
      <w:r>
        <w:t>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réf. cit. ; ATAF 2013/23 consid. 6.1.1).</w:t>
      </w:r>
    </w:p>
    <w:p>
      <w:r>
        <w:rPr>
          <w:b/>
        </w:rPr>
        <w:t>E. 4.1.2</w:t>
      </w:r>
    </w:p>
    <w:p>
      <w:r>
        <w:t>En l'espèce, il ressort de la motivation de la décision attaquée (voir en particulier ch. II p. 4 par. 8 et 11 et p. 5 in initio) que le SEM s'est prononcé sur la question d'un risque de persécution future en cas de retour Afghanistan, au vu notamment des tatouages visibles du recourant, ce qui a du reste été implicitement reconnu par l'intéressé, vu certaines formulations utilisées dans le mémoire de recours (voir à ce sujet ci-dessus let. F par. 3 des faits). Ainsi, sous le couvert d'une prétendue violation de motiver, il est en fait reproché au SEM d'avoir apprécié des faits de manière incorrecte, ce qui n'est pas pertinent dans ce contexte (voir à ce sujet le consid. 4.1.1 ci-dessus). A cela s'ajoute que le recourant, qui a déposé un mémoire de recours avec une motivation élaborée, n'a eu manifestement aucun problème à saisir la portée de la décision le concernant, pas plus qu'il n'a eu de difficulté pour l'attaquer en toute connaissance de cause.</w:t>
      </w:r>
    </w:p>
    <w:p>
      <w:r>
        <w:rPr>
          <w:b/>
        </w:rPr>
        <w:t>E. 4.1.3</w:t>
      </w:r>
    </w:p>
    <w:p>
      <w:r>
        <w:t>Partant, le SEM n'a clairement pas commis de violation du droit d'être entendu, dont l'obligation de motiver est l'une des composantes.</w:t>
      </w:r>
    </w:p>
    <w:p>
      <w:r>
        <w:rPr>
          <w:b/>
        </w:rPr>
        <w:t>E. 4.2</w:t>
      </w:r>
    </w:p>
    <w:p>
      <w:r>
        <w:t>En outre, il ne ressort pas non plus du dossier que des mesures d'instruction complémentaires sont nécessaires, l'état de fait ayant été établi par le SEM avec suffisamment de précision pour que le Tribunal puisse se prononcer en connaissance de cause sur le sort de ce recours.</w:t>
      </w:r>
    </w:p>
    <w:p>
      <w:r>
        <w:rPr>
          <w:b/>
        </w:rPr>
        <w:t>E. 4.3</w:t>
      </w:r>
    </w:p>
    <w:p>
      <w:r>
        <w:t>Partant, la conclusion portant sur le renvoi de la cause au SEM doit être rejetée.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réf. cit ; 2010/57 consid. 2.5 ; 2008/12 consid. 5.1). Pour ce qui a trait à la notion de « pression psychique insupportable » au sens de l'art. 3 al. 2 LAsi, il sied de rappeler que les exigences mises par la jurisprudence pour sa reconnaissance sont très élevées. Tel est le cas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(ATAF 2014/29 consid. 4.4 p. 479 et jurisp. cit.).</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l'occurrence, A._______ n'a pas été en mesure de faire apparaître la pertinence de ses motifs.</w:t>
      </w:r>
    </w:p>
    <w:p>
      <w:r>
        <w:rPr>
          <w:b/>
        </w:rPr>
        <w:t>E. 6.2</w:t>
      </w:r>
    </w:p>
    <w:p>
      <w:r>
        <w:t>En effet, ainsi que le SEM l'a rappelé dans sa décision, les sévices subis par le recourant en Iran - qui sont du reste le fait de particuliers agissant pour des motifs sexuels personnels sans pertinence au regard de l'art. 3 LAsi - ne peuvent permettre l'octroi de l'asile, dans la mesure où ils ne lui ont pas été infligés dans son Etat d'origine. En vertu du principe de la subsidiarité de la protection internationale, consacré à l'art. 1A ch. 2 de la Convention relative au statut des réfugiés du 28 juillet 1951 (Conv. Réfugiés, RS 0.142.30), un requérant doit avoir épuisé, dans l'Etat dont il est ressortissant, les possibilités de protection contre d'éventuelles persécutions avant de solliciter celle d'un Etat tiers (ATAF 2013/5 consid. 5.1 ; 2011/51 consid. 6.1 ; 2010/41 consid. 6.5.1). En l'espèce, le recourant n'a subi aucun préjudice antérieur en Afghanistan, n'ayant jamais vécu dans son Etat d'origine (sauf pour un court passage d'un mois). Partant la condition précitée n'est manifestement pas remplie. Il ne le soutient d'ailleurs pas dans son acte de recours.</w:t>
      </w:r>
    </w:p>
    <w:p>
      <w:r>
        <w:rPr>
          <w:b/>
        </w:rPr>
        <w:t>E. 6.3</w:t>
      </w:r>
    </w:p>
    <w:p>
      <w:r>
        <w:t>Le seul motif d'asile articulé par le recourant dans son recours est donc son homosexualité, dont il soutient qu'elle serait de nature, en Afghanistan, à l'exposer à un risque de persécution future, en particulier en raison de ses tatouages visibles et de sa boucle d'oreille.</w:t>
      </w:r>
    </w:p>
    <w:p>
      <w:r>
        <w:rPr>
          <w:b/>
        </w:rPr>
        <w:t>E. 6.3.1</w:t>
      </w:r>
    </w:p>
    <w:p>
      <w:r>
        <w:t>Il apparaît certes crédible qu'un homosexuel, en Afghanistan, appartienne à un groupe social pouvant être exposé à la persécution. En effet, les actes homosexuels sont non seulement réprimés par la loi, mais également stigmatisés par la population (voir à ce sujet p. ex. EASO Rapport d'information sur les pays d'origine. Afghanistan. Individus ciblés par les normes sociétales et juridiques, Décembre 2017 [ci-après Rapport EASO], chap. 4, p. 70-75). Toutefois, la question qui se pose ici n'est pas celle du danger menaçant l'intéressé de façon théorique, mais celle du risque concret qui peut peser sur lui. Il convient de rappeler, dans ce contexte, que la crainte de préjudices futurs doit être fondée sur des indices concrets qui peuvent laisser présager l'avènement, dans un avenir proche et selon une haute probabilité, de mesures déterminantes selon l'art. 3 LAsi, des menaces hypothétiques, qui pourraient se produire dans un avenir plus ou moins lointain, n'étant pas suffisantes (voir à ce sujet consid. 5.1 ci-dessus ; voir également les arrêts du Tribunal E-3719/2018 du 13 juillet 2018 [spéc. consid. 6.3 s.] et E-3952/2017 du 21 février 2018 [spéc. consid. 3.3], portant sur des cas analogues à celui de l'intéressé).</w:t>
      </w:r>
    </w:p>
    <w:p>
      <w:r>
        <w:rPr>
          <w:b/>
        </w:rPr>
        <w:t>E. 6.3.2</w:t>
      </w:r>
    </w:p>
    <w:p>
      <w:r>
        <w:t>In casu, l'existence d'un risque de persécution dépend de la connaissance que peuvent avoir de sa situation, en Afghanistan, tant les autorités que des tiers. Or, rien n'indique que cela pourrait être le cas si A._______ devait être appelé à retourner dans son pays d'origine, sans égard au fait que, étant admis provisoirement en Suisse, un retour en Afghanistan est de toute façon hypothétique au vu de la durée probable de son séjour légal en Suisse, lequel exclut ainsi - de facto - une quelconque persécution dans un avenir prochain [voir aussi l'arrêt du Tribunal E-3719/2018 précité, ibid.]). Il apparaît en outre exclu que les tatouages du recourant soient de nature à le désigner, en Afghanistan, comme étant homosexuel. Le prénommé n'a en effet pas laissé entendre durant ses auditions que ceux-ci pourraient l'exposer à une crainte fondée de persécution en cas de retour dans son pays d'origine. Cet élément n'a du reste pas été avancé d'emblée par sa mandataire, mais bien plus tard, dans sa prise de position du 31 mars 2021, soit plus de deux mois après le dépôt de la demande d'asile du 26 janvier 2021. En outre, A._______ a exposé dans son recours que ses tatouages avaient été effectués déjà avant son départ d'Iran. Ils ont donc été vus de manière quotidienne sur une relativement longue période dans cet Etat, notamment par les membres de sa famille proche, conservatrice et très religieuse, en particulier par ses parents. Socialisés en Afghanistan, ceux-ci sont parfaitement au fait des normes culturelles et sociétales prévalant non seulement dans leur pays d'origine mais aussi en Iran. Or, le recourant a admis n'avoir connu aucun problème avec ses parents avant son départ d'Iran, sa famille ignorant tout de son homosexualité. Il a par ailleurs dit entretenir des contacts normaux avec ses compatriotes afghans rencontrés en Suisse, en particulier au CFA de Boudry, dont certains avaient tenu des propos homophobes ; compatriotes qui ne s'étaient ainsi pas non plus rendus compte qu'il était homosexuel, malgré ses tatouages (voir à ce sujet Q. 38, 41 et 44 du procès-verbal [ci-après : pv] de l'audition du 25 mars 2021). Au vu de ce qui précède, rien n'indique que le recourant puisse être repéré en raison de ses tatouages visibles sur son visage, ni du fait de sa discrète boucle d'oreille - qu'il pourrait de toute façon ôter rapidement si celle-ci devait représenter le moindre danger pour lui - élément qu'il a exposé de manière encore plus tardive, dans le cadre de son recours seulement. Il s'ensuit que ses allégations de craintes en cas de retour en Afghanistan, du fait de son homosexualité, doivent être qualifiées d'hypothétiques, surtout si l'on tient compte de ce qu'il n'a jamais résidé auparavant dans l'Etat précité, où il n'a que de la parenté maternelle éloignée, avec laquelle il n'a jamais eu de contacts, sa famille en Iran ignorant toujours tout de son homosexualité. Aussi, le recourant n'a pas invoqué entretenir en Suisse une relation intime avec un compatriote, qui, théoriquement, pourrait retourner avec lui en Afghanistan ou faire part de leur relation à des personnes de son propre entourage restées en Afghanistan. Si A._______ devait un jour retourner en Afghanistan, il y a lieu de penser qu'il ferait alors ce voyage seul. La question de savoir s'il devait ensuite éventuellement pouvoir (ou vouloir) y entretenir un jour une relation homosexuelle non dissimulée reste totalement ouverte. Il en ressort que, pour cette raison également, un risque concret de persécution dans un avenir prochain et selon une haute probabilité ne saurait être retenu (voir également l'arrêt du Tribunal E-3719/2018 précité, ibid.). En conséquence, purement hypothétique, le danger invoqué par le recourant du fait de son homosexualité n'est aucunement étayé.</w:t>
      </w:r>
    </w:p>
    <w:p>
      <w:r>
        <w:rPr>
          <w:b/>
        </w:rPr>
        <w:t>E. 6.3.3</w:t>
      </w:r>
    </w:p>
    <w:p>
      <w:r>
        <w:t>Il n'y a manifestement pas lieu de retenir, vu ce qui précède, qu'un retour en Afghanistan serait de nature à placer nécessairement le recourant, à court ou moyen terme, dans une situation constitutive d'une « pression psychique insupportable », au sens de l'art. 3 LAsi, que ce soit en raison des préjudices déjà endurés en Iran (voir à ce sujet E-3952/2017 précité, qui concerne un autre ressortissant ayant vécu l'essentiel de son existence en Iran, où il aurait lui aussi été victime d'un viol collectif), du fait qu'il est encore mineur à l'heure actuelle ou pour une autre raison.</w:t>
      </w:r>
    </w:p>
    <w:p>
      <w:r>
        <w:rPr>
          <w:b/>
        </w:rPr>
        <w:t>E. 6.4</w:t>
      </w:r>
    </w:p>
    <w:p>
      <w:r>
        <w:t>Il convient encore de souligner que le seul fait de porter des tatouages « neutres », comme ceux du recourant, sans connotation sociétale particulière non acceptée (p. ex. orientation sexuelle minoritaire ou appartenance politique et/ou religieuse), n'est pas de nature à fonder un risque de persécution pertinente au sens de l'art. 3 LAsi, même si le fait de se tatouer - pratique qui est devenue plus courante surtout dans les régions urbaines - est toujours défavorablement perçu par certaines tranches de la population afghane (voir à ce sujet p. ex. Austrian Centre for Country of Origin &amp; Asylum Research and Documentation [ACCORD] - Anfragebeantwortung zu Afghanistan: Lage von Personen mit Tätowierungen (insbesondere christlichen Symbolen); Lage von Personen, die einen westlichen Lebensstil führen bzw. westliche Lokalen oder Geschäfte betreiben (u.a. auch von Künstlern, Musikern oder Personen in binationalen Beziehungen) [a-10011-1], 8 février 2017, et rapport EASO, chap. 2.3 p. 29 par. 3 et chap. 8.6, p. 113 ; voir également l'arrêt du Tribunal E-562/2021 du 1er mars 2021).</w:t>
      </w:r>
    </w:p>
    <w:p>
      <w:r>
        <w:rPr>
          <w:b/>
        </w:rPr>
        <w:t>E. 6.5</w:t>
      </w:r>
    </w:p>
    <w:p>
      <w:r>
        <w:t>Enfin, ni la situation de conflit armé à laquelle est confrontée l'ensemble de la population ni la seule appartenance du recourant à l'ethnie hazara ne constituent des motifs déterminants susceptibles de fonder une crainte de future persécution au sens de l'art. 3 LAsi.</w:t>
      </w:r>
    </w:p>
    <w:p>
      <w:r>
        <w:rPr>
          <w:b/>
        </w:rPr>
        <w:t>E. 6.6</w:t>
      </w:r>
    </w:p>
    <w:p>
      <w:r>
        <w:t>Il s'ensuit que le recours, en tant qu'il conteste la non-reconnaissance de la qualité de réfugié et le refus de l'asile,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Quant à la question de l'exécution du renvoi, le Tribunal constate que le SEM a prononcé l'admission provisoire du recourant, en raison de l'illicéité de son renvoi. La question du respect des exigences minimales découlant de la CEDH n'a donc pas à être tranchée in casu (voir à ce sujet notamment l'argumentation du mémoire de recours relative à l'arrêt de la CourEDH A.A. c. Suisse du 5 novembre 2019).</w:t>
      </w:r>
    </w:p>
    <w:p>
      <w:r>
        <w:rPr>
          <w:b/>
        </w:rPr>
        <w:t>E. 9</w:t>
      </w:r>
    </w:p>
    <w:p>
      <w:r>
        <w:t>Dès lors, la décision attaquée ne viole pas le droit fédéral et le SEM a établi de manière exacte et complète l'état de fait pertinent (art. 106 al. 1 LAsi). En conséquence, le recours est rejeté, également en tant qu'il conteste le renvoi du recourant.</w:t>
      </w:r>
    </w:p>
    <w:p>
      <w:r>
        <w:rPr>
          <w:b/>
        </w:rPr>
        <w:t>E. 10</w:t>
      </w:r>
    </w:p>
    <w:p>
      <w:r>
        <w:t>Le recours s'avérant manifestement infondé, il est rejeté dans une procédure à juge unique, avec l'approbation d'une seconde juge (art. 111 let. e LAsi).</w:t>
      </w:r>
    </w:p>
    <w:p>
      <w:r>
        <w:rPr>
          <w:b/>
        </w:rPr>
        <w:t>E. 11</w:t>
      </w:r>
    </w:p>
    <w:p>
      <w:r>
        <w:t>Le présent arrêt au fond rend sans objet la requête tendant à la dispense du versement d'une avance de frais.</w:t>
      </w:r>
    </w:p>
    <w:p>
      <w:r>
        <w:rPr>
          <w:b/>
        </w:rPr>
        <w:t>E. 12</w:t>
      </w:r>
    </w:p>
    <w:p>
      <w:r>
        <w:t>La requête d'assistance judiciaire partielle doit être rejetée, dans la mesure où les conclusions du recours étaient d'emblée vouées à l'échec (art. 65 al. 1 PA).</w:t>
      </w:r>
    </w:p>
    <w:p>
      <w:r>
        <w:rPr>
          <w:b/>
        </w:rPr>
        <w:t>E. 13</w:t>
      </w:r>
    </w:p>
    <w:p>
      <w:r>
        <w:t>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A._______ étant toutefois mineur, il y a lieu, conformément à la pratique du Tribunal, de le dispenser du versement de cette somme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