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D-1979/2016 vom 19. April 2016</w:t>
      </w:r>
    </w:p>
    <w:p>
      <w:r>
        <w:t>Bundesverwaltungsgericht, 2016-04-19, DE</w:t>
      </w:r>
    </w:p>
    <w:p>
      <w:r>
        <w:rPr>
          <w:b/>
        </w:rPr>
        <w:t xml:space="preserve">Quelle: </w:t>
      </w:r>
      <w:r>
        <w:t>https://mcp.opencaselaw.ch/entscheid/bvger_D-1979_2016</w:t>
      </w:r>
    </w:p>
    <w:p>
      <w:r>
        <w:t>FR: TAF D-1979/2016 du 19 avril 2016</w:t>
      </w:r>
    </w:p>
    <w:p>
      <w:r>
        <w:t>IT: TAF D-1979/2016 del 19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Der Beschwerdeführer rügt, das SEM habe den Anspruch auf rechtliches Gehör verletzt und den rechtserheblichen Sachverhalt nicht vollständig und richtig abgeklärt. Diese verfahrensrechtlichen Rügen sind vorab zu prüfen, da sie allenfalls geeignet sind, eine Kassation der vorinstanzlichen Verfügung zu bewirken.</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mit weiteren Hinweisen).</w:t>
      </w:r>
    </w:p>
    <w:p>
      <w:r>
        <w:rPr>
          <w:b/>
        </w:rPr>
        <w:t>E. 4.2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verbunden.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vgl. zum Ganzen BVGE 2015/10 E. 3.3 mit weiteren Hinweisen).</w:t>
      </w:r>
    </w:p>
    <w:p>
      <w:r>
        <w:rPr>
          <w:b/>
        </w:rPr>
        <w:t>E. 4.3</w:t>
      </w:r>
    </w:p>
    <w:p>
      <w:r>
        <w:t>Vorliegend stellt sich zunächst die Frage, ob dem Beschwerdeführer in ausreichendem Umfang das rechtliche Gehör bezüglich der Botschaftsanfrage gewährt wurde. Das öffentliche Interesse an der Geheimhaltung kann es unter Umständen rechtfertigen, die Einsicht in die Botschaftsanfrage und -antwort als solche zu verweigern. Weshalb jedoch vorliegend die Einsicht in die Anfrage verweigert wurde, ist nicht verständlich, zumal darin keine geheim zuhaltenden Angaben zu erkennen sind. Dies ist bei der Botschaftsantwort anders. Im Falle der Verweigerung der Einsicht ist jedoch der wesentliche Inhalt zusammengefasst offen zu legen. Diesem Anliegen ist vorliegend jedoch offensichtlich nicht genügend nachgekommen worden. So wies das SEM im Wesentlichen lediglich auf die Fälschungsvorwürfe bezüglich der eingereichten Dokumente hin. Mit keinem Wort erwähnte das SEM jedoch die für die Glaubhaftigkeit des Beschwerdeführers sprechenden Aussagen des (...) - so berichtete dieser zwar nicht von einer Suche nach dem Beschwerdeführer am Arbeitsplatz oder von etwaigen Verletzungen, bestätigte aber immerhin, dass der Beschwerdeführer zu Hause vom CID gesucht und belästigt worden sei, dass die Eltern ihn gebeten hätten Einfluss zu nehmen und dass sich Beamten des CID nach der Ausreise des Beschwerdeführers nach ihm erkundigt hätten. Aufgrund dieser äusserst rudimentären und lückenhaften Wiedergabe des Inhalts der Botschaftsabklärungen wurde es dem Beschwerdeführer objektiv verunmöglicht, allfällige Einwände gegen die Vorbehalte des SEM anzubringen. In der Begründung seiner abweisenden Verfügung stützte sich das SEM dann aber wiederum auf diese Aussagen, zu denen der Beschwerdeführer vorgängig gar nicht Stellung nehmen konnte. Damit verletzte das SEM das Recht auf vorgängige Anhörung als Teilgehalt des rechtlichen Gehörs.</w:t>
      </w:r>
    </w:p>
    <w:p>
      <w:r>
        <w:rPr>
          <w:b/>
        </w:rPr>
        <w:t>E. 4.4</w:t>
      </w:r>
    </w:p>
    <w:p>
      <w:r>
        <w:t>Weiter übersah das SEM den Fehler, den die Botschaft bei ihren Abklärungen machte, indem sie den Monat und den Tag des Anzeigedatums vertauschte und nach einer Anzeige vom (...) 2013 anstatt vom (...) 2013 suchen liess, obwohl es aus dem Sachverhalt klar ersichtlich gewesen wäre, dass es sich um den Monat (...) handeln muss. Damit verletzte das SEM den Untersuchungsgrundsatz indem es den richtigen und vollständigen rechtserheblichen Sachverhalt nicht abklärte. Es scheint vor diesem Hintergrund unumgänglich, die Botschaftsabklärung zu wiederholen.</w:t>
      </w:r>
    </w:p>
    <w:p>
      <w:r>
        <w:rPr>
          <w:b/>
        </w:rPr>
        <w:t>E. 4.5</w:t>
      </w:r>
    </w:p>
    <w:p>
      <w:r>
        <w:t>Schliesslich kann der Inhalt der Verfügung aufgrund der fehlenden Textteile auf Seite 5 im wesentlichen Teil der Glaubhaftigkeitsprüfung bezugnehmend auf die Aussagen des (...) nicht schlüssig nachvollzogen werden. Auch diesbezüglich muss demnach dem Beschwerdeführer Recht gegeben werden, wenn er vorbringt, zwischen den Seiten 4 und 5 fehle ein relevanter Teil der Begründung, sodass die Verfügung weder nachvollziehbar ist noch eine ordentliche Anfechtung ermöglicht. Damit kann weder von einer sorgfältigen und ernsthaften Prüfung noch einer entsprechenden Niederschlagung in der Entscheidbegründung gesprochen werden, was wiederum eine Verletzung des Anspruchs auf rechtliches Gehör und der Begründungspflicht darstellt.</w:t>
      </w:r>
    </w:p>
    <w:p>
      <w:r>
        <w:rPr>
          <w:b/>
        </w:rPr>
        <w:t>E. 4.6</w:t>
      </w:r>
    </w:p>
    <w:p>
      <w:r>
        <w:t>Nach dem Gesagten steht fest, dass das SEM im vorliegenden Fall sowohl den Anspruch des Beschwerdeführers auf Einräumung des rechtlichen Gehörs als auch den Untersuchungsgrundsatz in verschiedener Hinsicht verletzt hat.</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Eine Verletzung des Anspruchs auf rechtliches Gehör führt grundsätzlich ebenfalls zur Kassation und Rückwei­sung der Sache an die Vorinstanz. Die Heilung von Gehörsverletzungen aus prozessökonomischen Gründen ist auf Beschwerdeebene unter gewissen Voraussetzungen möglich. Selbst dann kann sich eine Kassation aber beispielsweise rechtfertigen,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(vgl. zum Ganzen BVGE 2015/10 E. 7.1 mit weiteren Hinweisen).</w:t>
      </w:r>
    </w:p>
    <w:p>
      <w:r>
        <w:rPr>
          <w:b/>
        </w:rPr>
        <w:t>E. 5.2</w:t>
      </w:r>
    </w:p>
    <w:p>
      <w:r>
        <w:t>Vor dem Hintergrund dieser Ausführungen drängt sich vorliegend eine Kassation angesichts der durch die Verletzung des rechtlichen Gehörs und des Untersuchungsgrundsatzes gehäuft aufgetretenen gravierenden Verfahrensfehler auf. Eine derart unsorgfältige Verfahrensführung kann von der Beschwerdeinstanz nicht geheilt werden. Die Vorinstanz muss vorliegend auf ihre verfahrensrechtlichen Pflichten aufmerksam gemacht werden. Zudem stellt sich wie erwähnt die Frage ob im Rahmen der Botschaftsabklärung verschiedene Tatsachen neu abgeklärt werden müssen, was den für die Beschwerdeinstanz vertretbaren Aufwand übersteigt. Die angefochtene Verfügung ist deshalb aufzuheben und die Angelegenheit im Sinne der Erwägungen zur Neubeurteilung an die Vorinstanz zurückzuweisen.</w:t>
      </w:r>
    </w:p>
    <w:p>
      <w:r>
        <w:rPr>
          <w:b/>
        </w:rPr>
        <w:t>E. 6</w:t>
      </w:r>
    </w:p>
    <w:p>
      <w:r>
        <w:t>Bei dieser Sachlage erübrigt sich eine Auseinandersetzung mit den weiteren Vorbringen in der Beschwerde. Der Antrag um Bekanntgabe des Spruchgremiums wird mit dem Entscheid in der Hauptsache gegenstandslos. 7.1 Bei diesem Ausgang des Verfahrens sind keine Kosten zu erheben (Art. 63 Abs. 1 VwVG). 7.2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1800.-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