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D-1976/2020 vom 16. Juni 2020</w:t>
      </w:r>
    </w:p>
    <w:p>
      <w:r>
        <w:t>Bundesverwaltungsgericht, 2020-06-16, DE</w:t>
      </w:r>
    </w:p>
    <w:p>
      <w:r>
        <w:rPr>
          <w:b/>
        </w:rPr>
        <w:t xml:space="preserve">Quelle: </w:t>
      </w:r>
      <w:r>
        <w:t>https://mcp.opencaselaw.ch/entscheid/bvger_D-1976_2020</w:t>
      </w:r>
    </w:p>
    <w:p>
      <w:r>
        <w:t>FR: TAF D-1976/2020 du 16 juin 2020</w:t>
      </w:r>
    </w:p>
    <w:p>
      <w:r>
        <w:t>IT: TAF D-1976/2020 del 16 giugno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[SR 142.31]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Der Beschwerdeführer rügt eine Verletzung des rechtlichen Gehörs beziehungsweise sinngemäss des Akteneinsichtsrechts. Diese formelle Rüge ist vorab zu beurteilen, da sie gegebenenfalls geeignet ist, eine Kassation der vorinstanzlichen Verfügung zu bewirken.</w:t>
      </w:r>
    </w:p>
    <w:p>
      <w:r>
        <w:rPr>
          <w:b/>
        </w:rPr>
        <w:t>E. 4.2</w:t>
      </w:r>
    </w:p>
    <w:p>
      <w:r>
        <w:t>Der Anspruch auf rechtliches Gehör (Art. 29 Abs. 2 BV, Art. 29 VwVG) beinhaltet als Mitwirkungsrecht alle Befugnisse, die einer Partei einzuräumen sind, damit sie in einem Verfahren ihren Standpunkt wirksam zur Geltung bringen kann (vgl. Patrick Sutter, in: Auer/Müller/Schindler [Hrsg.], Kommentar zum VwVG, 2. Aufl. 2019, Rz. 1 zu Art. 29 m.w.H.).</w:t>
      </w:r>
    </w:p>
    <w:p>
      <w:r>
        <w:rPr>
          <w:b/>
        </w:rPr>
        <w:t>E. 4.2.1</w:t>
      </w:r>
    </w:p>
    <w:p>
      <w:r>
        <w:t>Aus dem Grundsatz des rechtlichen Gehörs folgt,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Kneubühler/Pedretti, in: Auer/Müller/Schindler [Hrsg.], a.a.O., Rz. 7 ff. zu Art. 35; Kölz/Hä-ner/Bertschi, a.a.O., N. 629 ff.; BVGE 2011/37 E. 5.4.1, 2008/47 E. 3.2, BGE 136 I 184 E. 2.2.1 und 134 I 83 E. 4.1).</w:t>
      </w:r>
    </w:p>
    <w:p>
      <w:r>
        <w:rPr>
          <w:b/>
        </w:rPr>
        <w:t>E. 4.2.2</w:t>
      </w:r>
    </w:p>
    <w:p>
      <w:r>
        <w:t>Ebenfalls Teilgehalt des rechtlichen Gehörs ist der verfahrensrechtliche Anspruch auf Akteneinsicht (Art. 26 VwVG). So können sich die Betroffenen in einem Verfahren nämlich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überwiegt (Art. 27 VwVG). Wird einer Partei die Einsichtnahme in ein Aktenstück verweigert, muss ihr die Behörde zumindest von seinem wesentlichen Inhalt Kenntnis sowie die Gelegenheit geben, sich dazu zu äussern und Gegenbeweismittel zu bezeichnen (Art. 28 VwVG). Wird das Akteneinsicht eingeschränkt, ist der Grundsatz der Verhältnismässigkeit zu beachten. Je stärker das Verfahrensergebnis von der Stellungnahme der Betroffenen zum konkreten Dokument abhängt und je stärker auf ein Dokument bei der Entscheidfindung (zum Nachteil des Betroffenen) abgestellt wird, desto intensiver ist dem Akteneinsichtsrecht Rechnung zu tragen. Aus dem Akteneinsichtsrecht ergibt sich sodann die Aktenführungspflicht, welche sämtliche Akten umfasst. Die Aktenführungspflicht beinhaltet insbesondere die geordnete Ablage, die Paginierung und die Registrierung der vollständigen Akten im Aktenverzeichnis (vgl. BVGE 2011/37 E. 5.4.1; 2013/23 E. 6.4.1 und 6.4.2, je m.w.H.).</w:t>
      </w:r>
    </w:p>
    <w:p>
      <w:r>
        <w:rPr>
          <w:b/>
        </w:rPr>
        <w:t>E. 4.3</w:t>
      </w:r>
    </w:p>
    <w:p>
      <w:r>
        <w:t>Der Beschwerdeführer rügt, dass die Vorinstanz den Anspruch auf rechtliches Gehör verletzt habe, indem sie ihm keine Einsicht in das Relocation-Dossier gewährt habe.</w:t>
      </w:r>
    </w:p>
    <w:p>
      <w:r>
        <w:rPr>
          <w:b/>
        </w:rPr>
        <w:t>E. 4.3.1</w:t>
      </w:r>
    </w:p>
    <w:p>
      <w:r>
        <w:t>Nachdem der Beschwerdeführer am 31. März 2020 um Einsicht in alle entscheidrelevanten Akten in seinem Asylverfahren ersucht hatte, gewährte ihm die Vorinstanz mit Verfügung vom 3. April 2020 teilweise Einsicht (vgl. SEM act. A20). Der Einwand des Beschwerdeführers, er habe keine Einsicht in das Relocation-Dossier erhalten, ist offenkundig zutreffend. So ist aus der vorgenannten Verfügung des SEM zu entnehmen, in welche Aktenstücke dem Beschwerdeführer das Einsichtsrecht verwehrt wurde («Per i documenti n. A1, A3, A5, A6, A7, A17, A18, non può essere concessa la consultazione perché», vgl. SEM act. A20). Dabei werden keine Aktenstücke aus der Relocation-Mappe aufgeführt - obwohl jene Akten gemäss Paginierung teilweise nicht der Editionspflicht unterstehen (vgl. SEM Mappe zu act. B1-7) und gegebenen falls zu erwähnen gewesen wären.</w:t>
      </w:r>
    </w:p>
    <w:p>
      <w:r>
        <w:rPr>
          <w:b/>
        </w:rPr>
        <w:t>E. 4.3.2</w:t>
      </w:r>
    </w:p>
    <w:p>
      <w:r>
        <w:t>Es steht ausser Zweifel, dass die in der Relocation-Mappe vorhandenen Akten - welche bezeichnenderweise im N-Dossier abgelegt wurden - als Asylakten zu qualifizieren sind, auch wenn sie zeitlich ausnahmslos vor der formellen Asylgesuchstellung in der Schweiz entstanden sind. Das Relocation-Verfahren dient nämlich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Zielstaats sodann insbesondere die Identität der umsiedlungswilligen Personen ab und führen eine sogenannte Sicherheitsanhörung durch. Im vorliegenden Fall wurde der Beschwerdeführer den Akten zufolge am (...) befragt. Neben Angaben zu seiner Person legte er unter anderem auch seine Fluchtgründe dar. Gestützt auf diese Angaben und nach weiteren Abklärungen erteilte die Vorinstanz die Zustimmung zur Umsiedlung des Beschwerdeführers in die Schweiz, woraufhin dieser am (...) legal in die Schweiz einreiste. Es ist davon auszugehen, dass die Angaben des Beschwerdeführers im Rahmen des dem eigentlichen Asylverfahrens vorgelagerten Relocations-Verfahrens für die Beurteilung der Schutzbedürftigkeit von Bedeutung waren, auch wenn seine Ausführungen zu den Fluchtgründen nur knapp festgehalten wurden und sich die Vor-instanz in der angefochtenen Verfügung nicht direkt darauf bezog (vgl. SEM act. A16). Diese Akten sind als Asylakten zu behandeln. Daraus ergibt sich sodann der Anspruch des Beschwerdeführers auf Einsicht in diese Akten, soweit diese der Editionspflicht unterliegen (vgl. Urteile des BVGer D-1879/2019 vom 14. Mai 2019 E. 6.3.2; D-5848/2019 vom 30. Januar 2020 E.3.3.2).</w:t>
      </w:r>
    </w:p>
    <w:p>
      <w:r>
        <w:rPr>
          <w:b/>
        </w:rPr>
        <w:t>E. 4.3.3</w:t>
      </w:r>
    </w:p>
    <w:p>
      <w:r>
        <w:t>Nach dem Gesagten ist festzustellen, dass die Vorinstanz den Anspruch des Beschwerdeführers auf rechtliches Gehör durch die bloss teilweise erfolgte Edition ohne jegliche Begründung derselben (Verletzung des Akteneinsichtsrechts) verletzt hat.</w:t>
      </w:r>
    </w:p>
    <w:p>
      <w:r>
        <w:rPr>
          <w:b/>
        </w:rPr>
        <w:t>E. 5</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Verfahrenserledigung im Ergebnis anders ausgefallen wäre. Die Heilung von Gehörsverletzungen aus prozessökonomischen Gründen ist auf die Beschwerdeebene nur möglich, wenn das Versäumte nachgeholt wird, der Beschwerdeführer dazu Stellung nehmen kann,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auch dann rechtfertigen, wenn die genannten Voraussetzungen für eine Heilung erfüllt wären, beispielsweise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 Eine Heilung der festgestellten formellen Rechtsverletzung auf Beschwerdestufe fällt im vorliegenden Fall nicht in Betracht, da die Überprüfungsbefugnis des Bundesverwaltungsgerichts nach Art. 106 Abs. 1 AsylG eingeschränkt ist und es sich beim beanstandeten Vorgehen der Vorinstanz nicht um einen Einzelfall handelt (vgl. Urteile des BVGer E-4491/2017 und E-4500/2017 vom 10. November 2017, D-1879/2019 vom 14. Mai 2019, E-2891/2019 vom 15. Juli 2019, D-3472/2019 vom 17. September 2019 sowie D-5848/2019 vom 30. Januar 2020). Ausserdem ginge dem Beschwerdeführer bei einer Heilung durch das Gericht und einem daraufhin allenfalls ergehenden abweisenden Entscheid eine Instanz verloren. Aus diesen Gründen erscheint im vorliegenden Fall eine Kassation der angefochtenen Verfügung gerechtfertigt.</w:t>
      </w:r>
    </w:p>
    <w:p>
      <w:r>
        <w:rPr>
          <w:b/>
        </w:rPr>
        <w:t>E. 6</w:t>
      </w:r>
    </w:p>
    <w:p>
      <w:r>
        <w:t>Nach dem Gesagten ist die Beschwerde insofern gutzuheissen, als die angefochtene Verfügung aufzuheben und die Sache zur Behebung des festgestellten Mangels sowie zur Neubeurteilung an die Vorinstanz zurückzuweisen ist. Die Vorinstanz ist im Rahmen des wiederaufzunehmenden erstinstanzlichen Verfahrens gehalten, dem Beschwerdeführer unter Berücksichtigung allfälliger Geheimhaltungsinteressen im Sinne von Art. 27 VwVG soweit möglich Zugang zu den Relocation-Akten zu gewähren. Bei dieser Sachlage erübrigt es sich, auf den weiteren Inhalt der Beschwerde näher einzugehen.</w:t>
      </w:r>
    </w:p>
    <w:p>
      <w:r>
        <w:rPr>
          <w:b/>
        </w:rPr>
        <w:t>E. 7.1</w:t>
      </w:r>
    </w:p>
    <w:p>
      <w:r>
        <w:t>Bei diesem Ausgang des Verfahrens sind keine Kosten zu erheben (Art. 63 Abs. 1 und 2 VwVG). Das Gesuch um Gewährung der unentgeltlichen Prozessführung und der Antrag auf Verzicht auf die Erhebung eines Kostenvorschusses sind mit dem vorliegenden Urteil gegenstandslos geworden. Dies gilt auch für den Antrag auf Beiordnung eines unentgeltlichen Rechtsbeistands.</w:t>
      </w:r>
    </w:p>
    <w:p>
      <w:r>
        <w:rPr>
          <w:b/>
        </w:rPr>
        <w:t>E. 7.2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Die Kosten der Vertretung umfassen das Anwaltshonorar oder die Entschädigung für eine nichtanwaltliche berufsmässige Vertretung sowie weitere notwendige Auslagen der Partei (vgl. Art. 9 Abs. 1 und Art. 13 des Reglements über die Kosten und Entschädigungen vor dem Bundesverwaltungsgericht vom 21. Februar 2008 [VGKE, SR 173.320.2]). Im vorliegenden Fall liegt weder eine berufsmässige Vertretung vor, noch sind sonstige notwendige Auslagen belegt. Dies hat zur Folge, dass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