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D-1972/2010 vom 6. August 2010</w:t>
      </w:r>
    </w:p>
    <w:p>
      <w:r>
        <w:t>Bundesverwaltungsgericht, 2010-08-06, DE</w:t>
      </w:r>
    </w:p>
    <w:p>
      <w:r>
        <w:rPr>
          <w:b/>
        </w:rPr>
        <w:t xml:space="preserve">Quelle: </w:t>
      </w:r>
      <w:r>
        <w:t>https://mcp.opencaselaw.ch/entscheid/bvger_D-1972_2010</w:t>
      </w:r>
    </w:p>
    <w:p>
      <w:r>
        <w:t>FR: TAF D-1972/2010 du 6 août 2010</w:t>
      </w:r>
    </w:p>
    <w:p>
      <w:r>
        <w:t>IT: TAF D-1972/2010 del 6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Vorab ist festzustellen, dass der Beschwerdeführer den Wortlaut sämtlicher Protokolle mit seiner Unterschrift bestätigt hat und sich deshalb seine Aussagen grundsätzlich entgegenhalten lassen muss. Die Behauptung in der Rechtsmittelschrift, wonach die Aussagen des Beschwerdeführers anlässlich der Kurzbefragung falsch übersetzt worden seien, weshalb die Befragung nur unter erschwerten Umständen habe durchgeführt werden können, was zu fehlerhaften Einträgen im Protokoll geführt habe, findet in den Akten keine Stütze. Vielmehr ist aus dem Kurzbefragungsprotokoll ersichtlich, dass die Befragung auf kurdisch - der Muttersprache des Beschwerdeführers - durchgeführt wurde. Zudem geht aus dem Protokoll der abgebrochenen Anhörung vom 13. November 2008 hervor, dass der an der Kurzbefragung übersetzende Dolmetscher neben der kurdischen auch die arabische Sprache beherrschte, so dass der hauptsächlich arabisch sprechende Beschwerdeführer jeweils problemlos nachfragen konnte, wenn er etwas nicht verstand (Akten BFM A 1/10. S. 5). Aus dem Kurzbefragungsprotokoll lässt sich zudem entnehmen, dass der Beschwerdeführer den Dolmetscher gut verstanden hat (Akten BFM A 1/8, S. 6). Die Behauptung in der Beschwerde bezüglich fehlerhafter Einträge im Kurzbefragungsprotokoll ist daher lediglich als Schutzbehauptung des Beschwerdeführers zu werten, um die in der angefochtenen Verfügung aufgeführten, widersprüchlichen Aussagen zu rechtfertigen.</w:t>
      </w:r>
    </w:p>
    <w:p>
      <w:r>
        <w:rPr>
          <w:b/>
        </w:rPr>
        <w:t>E. 5.2</w:t>
      </w:r>
    </w:p>
    <w:p>
      <w:r>
        <w:t>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5.3</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zutreffenden vorinstanzlichen Erwägungen zu verweisen ist (vgl. Ziffer I; Bst. E. vorstehend). Gegen die Glaubhaftigkeit der vom Beschwerdeführer geltend gemachten Verfolgungsvorbringen spricht zudem der Umstand, dass die Botschaftsabklärung vom 11. Januar 2010 durch die Schweizer Vertretung in Damaskus ergab, dass der Beschwerdeführer legal und behördlich kontrolliert mit seinem eigenen Pass in den Libanon ausgereist ist, zumal dieses Verhalten nicht einer gesuchten Person entspricht. Die in der Stellungnahme vom 15. Februar 2010 respektive in der Rechtsmittelschrift geltend gemachte Behauptung des Beschwerdeführers, wonach er Syrien nur deshalb über einen offiziellen Grenzübergang Richtung Libanon habe verlassen können, da sein Schlepper Beamte bestochen habe, überzeugt das Gericht nicht, da der Beschwerdeführer anlässlich der Anhörung vom 11. September 2009 die Zahlung von Bestechungsgeld mit keinem Wort erwähnte, obwohl er damals explizit gefragt wurde, weshalb er mit einem Schlepper in den Libanon gereist sei (Akten BFM A 13/13, S. 9). An dieser Einschätzung ändern auch die diesbezüglichen Ausführungen in der Rechtsmittelschrift nichts, zumal auch sie nicht plausibel zu machen vermögen, weshalb der Beschwerdeführer nicht bereits bei der Anhörung vom 11. September 2009 die Bezahlung von Bestechungsgeld erwähnt hat. Die Tatsache, dass der Beschwerdeführer gemäss der Botschaftsabklärung vom 11. Januar 2010 von den syrischen Behörden nicht gesucht wird, spricht ebenfalls gegen die behauptete Verfolgung beziehungsweise die Suche nach seiner Person, da vorliegend keine Anhaltspunkte bestehen oder triftige Gründe geltend gemacht werden, aufgrund derer sich generelle Zweifel an der Zuverlässigkeit der Abklärungen der Schweizerischen Vertretung in Damaskus ergeben könnten, weshalb die diesbezüglichen Einwendungen in der Beschwerde respektive in der Stellungnahme vom 15. Februar 2010 das Abklärungsergebnis nicht umzu-stossen vermögen. Nach dem Gesagten ist zu schliessen, es handle sich bei der Behauptung des Beschwerdeführers, wonach er in Syrien vom politischen Sicherheitsdienst gesucht werde, um ein Sachverhaltskonstrukt, weswegen auch nicht geglaubt werden kann, dass er bei einer Rückkehr in sein Heimatland von den syrischen Behörden etwas zu befürchten hätte. Das BFM hat aufgrund offensichtlicher Unglaubhaftigkeit der Vorbringen zu Recht davon abgesehen, die Asylrelevanz des geltend gemachten Sachverhalts zu prüfen.</w:t>
      </w:r>
    </w:p>
    <w:p>
      <w:r>
        <w:rPr>
          <w:b/>
        </w:rPr>
        <w:t>E. 5.4</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nach Syrien befürchten müsste. Der Beschwerdeführer vermag mit seinen Beschwerdevorbringen zu keiner anderen Betrachtungsweise zu führen, weshalb es sich erübrigt, weiter darauf einzugehen. Er erfüllt somit die Voraussetzungen zur Zuerkennung der Flüchtlingseigenschaft nicht, weshalb die Vorinstanz das Asylbegehren zu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w:t>
      </w:r>
    </w:p>
    <w:p>
      <w:r>
        <w:rPr>
          <w:b/>
        </w:rPr>
        <w:t>E. 7.3.3</w:t>
      </w:r>
    </w:p>
    <w:p>
      <w:r>
        <w:t>Vorliegend sind den Akten auch keine Anhaltspunkte für individuelle Unzumutbarkeitsindizien zu entnehmen. Der - soweit den Akten zu entnehmen ist - gesunde, ledige Beschwerdeführer hat die prägenden Kinder- und Jugendjahre in Syrien verbracht, wo er auch die Schule besucht hat. Zudem verfügt er über Berufserfahrung als Coiffeur, weshalb anzunehmen ist, er könne sich in seiner Heimat wieder wirtschaftlich integrieren. Gemäss seinen Angaben leben überdies seine Eltern sowie seine fünf Geschwister nach wie vor in seiner Heimat.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13. April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