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D-1961/2020 vom 1. Dezember 2020</w:t>
      </w:r>
    </w:p>
    <w:p>
      <w:r>
        <w:t>Bundesverwaltungsgericht, 2020-12-01, DE</w:t>
      </w:r>
    </w:p>
    <w:p>
      <w:r>
        <w:rPr>
          <w:b/>
        </w:rPr>
        <w:t xml:space="preserve">Quelle: </w:t>
      </w:r>
      <w:r>
        <w:t>https://mcp.opencaselaw.ch/entscheid/bvger_D-1961_2020</w:t>
      </w:r>
    </w:p>
    <w:p>
      <w:r>
        <w:t>FR: TAF D-1961/2020 du 1 décembre 2020</w:t>
      </w:r>
    </w:p>
    <w:p>
      <w:r>
        <w:t>IT: TAF D-1961/2020 del 1 dicembre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1.3</w:t>
      </w:r>
    </w:p>
    <w:p>
      <w:r>
        <w:t>Das am (...) 2020 geborene Kind L._______ ist in das vorliegende Verfahren einzubeziehen.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ff. AsylG). Ein entsprechendes Gesuch ist dem SEM innert 30 Tagen nach Entdeckung des Wiedererwägungsgrunds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(vgl. zum sogenannten "qualifizierten Wiedererwägungsgesuch"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Satz] BGG; BVGE 2013/22). Nach Art. 66 Abs. 2 VwVG liegen Revisionsgründe unter anderem dann vor, wenn eine Partei neue erhebliche Tatsachen oder Beweismittel vorbringt (Bst. a). Neue Beweismittel im Sinne von Art. 66 Abs. 2 Bst. a VwVG müssen entweder den Beweis für neue erhebliche Tatsachen oder den Beweis für Tatsachen erbringen können, deren Existenz oder Eigenschaften im Beschwerdeverfahren respektive im Asylverfahren vor dem SEM zum Nachteil des Beschwerdeführers unbewiesen geblieben sind.</w:t>
      </w:r>
    </w:p>
    <w:p>
      <w:r>
        <w:rPr>
          <w:b/>
        </w:rPr>
        <w:t>E. 3.3</w:t>
      </w:r>
    </w:p>
    <w:p>
      <w:r>
        <w:t>Die Wiedererwägung ist nicht beliebig zulässig. Sie darf insbesondere nicht dazu dienen, die Rechtskraft von Verwaltungsentscheiden immer wieder infrage zu stellen oder die Fristen für die Ergreifung von Rechtsmitteln zu umgehen (vgl. BGE 136 II 177 E. 2.1). Gründe, die bereits im Zeitpunkt des ordentlichen Beschwerdeverfahrens bestanden haben, können nicht als Wiedererwägungsgründe vorgebracht werden (Art. 66 Abs. 3 VwVG).</w:t>
      </w:r>
    </w:p>
    <w:p>
      <w:r>
        <w:rPr>
          <w:b/>
        </w:rPr>
        <w:t>E. 4.1</w:t>
      </w:r>
    </w:p>
    <w:p>
      <w:r>
        <w:t>Verfahrensrechtliche Fragen sind vorab zu prüfen, da sie allenfalls zu einer Rückweisung der Sache führen könnten.</w:t>
      </w:r>
    </w:p>
    <w:p>
      <w:r>
        <w:rPr>
          <w:b/>
        </w:rPr>
        <w:t>E. 4.1.1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w:t>
      </w:r>
    </w:p>
    <w:p>
      <w:r>
        <w:rPr>
          <w:b/>
        </w:rPr>
        <w:t>E. 4.1.2</w:t>
      </w:r>
    </w:p>
    <w:p>
      <w:r>
        <w:t>Gemäss Art. 12 VwVG stellt die Behörde den Sachverhalt von Amtes wegen fest und bedient sich nötigenfalls der gesetzlichen Beweismittel. Unrichtig ist die Sachverhaltsfeststellung, wenn der Verfügung ein falscher oder aktenwidriger Sachverhalt zugrunde gelegt wird oder Beweise falsch gewürdigt worden sind. Die Sachverhaltsdarstellung ist demgegenüber unvollständig, wenn nicht alle für den Entscheid rechtswesentlichen Sachumstände berücksichtigt werden (vgl. Kölz/Häner/Bertschi, Verwaltungsverfahren und Verwaltungsrechtspflege des Bundes, 3. Aufl. 2013, Rz. 630).</w:t>
      </w:r>
    </w:p>
    <w:p>
      <w:r>
        <w:rPr>
          <w:b/>
        </w:rPr>
        <w:t>E. 4.2</w:t>
      </w:r>
    </w:p>
    <w:p>
      <w:r>
        <w:t>In der angefochtenen Verfügung hielt das SEM in Bezug auf die eingereichte Urteilskopie vom 22. Januar 2020 fest, diese vermöge nichts zu ändern, zumal das Urteil sich auf einen Sachverhalt stütze, der nicht glaubhaft sei. Überdies wies die Vorinstanz auf den ohnehin als gering einzustufenden Beweiswert solcher Dokumente hin, das Vorliegen einer (beglaubigten) Kopie lasse verschiedene Manipulationsmöglichkeiten zu, und es seien keine Geschworenen aufgeführt, obwohl solche vorgesehen wären. Seltsam sei schliesslich, dass das Dokument keinen Briefkopf aufweise. In Bezug auf die Verfügung über die Eröffnung eines Strafverfahrens gegen den Beschwerdeführer; datierend vom 4. November 2018 stellte das SEM fest, das Dokument sei vor Erlass des Beschwerdeurteils entstanden, weshalb es aus Gründen der funktionellen Zuständigkeit nur noch revisionsweise vom Gericht geprüft werden könne. Dass das Dokument zu einem späteren Zeitpunkt beglaubigt worden sei, vermöge daran nichts zu ändern.</w:t>
      </w:r>
    </w:p>
    <w:p>
      <w:r>
        <w:rPr>
          <w:b/>
        </w:rPr>
        <w:t>E. 4.3</w:t>
      </w:r>
    </w:p>
    <w:p>
      <w:r>
        <w:t>Auf Beschwerdeebene wird gerügt, das SEM habe die Untersuchungspflicht in gravierender Weise verletzt und habe damit gegen Bundesrecht verstossen. Die Vorinstanz wäre gehalten gewesen, die eingereichten Dokumente einer Echtheitsprüfung - etwa mit Hilfe der Schweizer Vertretung in Moskau - zu unterziehen. Dies zu unterlassen komme einer gravierenden Verletzung der Untersuchungspflicht gleich. Es könne nicht sein, dass pauschale Vermutungen über amtliche Dokumente angestellt und an den Platz seriöser Abklärungen treten würden. Sollte im Übrigen das Bundesverwaltungsgericht das SEM für die Prüfung des Beweismittels vom 4. November als zuständig erachten, wäre die Sache zur rechtsgenüglichen Abklärung des Sachverhalts zurückzuweisen.</w:t>
      </w:r>
    </w:p>
    <w:p>
      <w:r>
        <w:rPr>
          <w:b/>
        </w:rPr>
        <w:t>E. 4.4.1</w:t>
      </w:r>
    </w:p>
    <w:p>
      <w:r>
        <w:t>Die Vorinstanz liess in Bezug auf das von den Beschwerdeführenden eingereichte Gerichtsurteil durch die amtsinterne Sektion Analysen ein Consulting erstellen. Unabhängig von der Frage, ob die Vorinstanz die Beschwerdeführenden im Lichte von Art. 30 Abs. 1 VwVG vor Erlass ihrer Verfügung über die vorgenommene Abklärung und das Abklärungsergebnisse hätte in Kenntnis setzen und ihnen dazu das rechtliche Gehör gewähren müssen, ergeben sich aus dem Consulting vom 5. März 2020 Erkenntnisse, die sowohl für als auch gegen die Authentizität des eingereichten Beweismittels sprechen. Eingang in die angefochtene Verfügung hat indessen nur die Feststellung gefunden, dass im Urteil keine Geschworenen vermerkt sind, obwohl deren Beteiligung verfahrensrechtlich vorgesehen wäre. Ob das SEM die weiteren Erkenntnisse aus den getroffenen Abklärungen in seine Überlegungen einbezogen hat und wie diese gegebenenfalls gewichtet wurden, ergibt sich weder aus der angefochtenen Verfügung noch aus der Vernehmlassung des SEM. Damit war zum einen den Beschwerdeführenden keine sachgerechte Anfechtung, zum anderen ist dem Gericht keine entsprechende Überprüfung möglich. Damit liegt eine Verletzung des Anspruches auf rechtliches Gehör vor. Dass die Beschwerdeführenden dies nicht gerügt haben, kann ihnen nicht entgegengehalten werden, nachdem sie keine Kenntnis der getroffenen Abklärungen erlangen konnten.</w:t>
      </w:r>
    </w:p>
    <w:p>
      <w:r>
        <w:rPr>
          <w:b/>
        </w:rPr>
        <w:t>E. 4.4.2</w:t>
      </w:r>
    </w:p>
    <w:p>
      <w:r>
        <w:t>Des Weiteren ist anzumerken, dass die Beschwerdeführenden zum einen eine beglaubigte Kopie des Gerichtsurteils einreichten. Das SEM hielt dazu fest, dies lasse verschiedene Manipulationsmöglichkeiten zu, ohne auf den Umstand der Beglaubigung einzugehen. Sodann hielt das Bundesverwaltungsgericht zum anderen im Revisionsurteil D-1969/2020 vom 15. Juni 2020 fest, ob der eingereichten Verfügung vom 4. November 2018 aufgrund der notariellen Bestätigung beziehungsweise der angebrachten Apostille eine höhere Beweiskraft zuzusprechen wäre, sei im Revisionsverfahren nicht zu prüfen, da die entsprechenden Anmerkungen erst im Januar 2020 und damit nach dem Urteil D-3803/2019 vom 20. Dezember 2019 entstanden seien. Das SEM äusserte sich in der Folge in seiner Vernehmlassung zwar zum Dokument beziehungsweise dessen Inhalt an sich, nicht aber zum Umstand, dass das Dokument mit einer Apostille versehen eingereicht wurde. Damit ist die Vorinstanz auch diesbezüglich ihrer Begründungspflicht nicht nachgekommen. Zwar ist die beglaubigte Kopie eines Dokumentes nicht ohne Weiteres mit einem authentischen Dokument gleichzusetzen, der Umstand der Beglaubigung oder der Überbeglaubigung (Apostille) kann indessen auch nicht einfach ausser Acht gelassen werden. Aus diesem Grund hätte die Vorinstanz auch diesbezüglich begründen müssen, weshalb sich im konkreten Fall weder Beglaubigung noch Überbeglaubigung auf die Beweiskraft der Dokumente auswirken.</w:t>
      </w:r>
    </w:p>
    <w:p>
      <w:r>
        <w:rPr>
          <w:b/>
        </w:rPr>
        <w:t>E. 4.4.3</w:t>
      </w:r>
    </w:p>
    <w:p>
      <w:r>
        <w:t>Der Vollständigkeit halber bleibt anzumerken, dass die Argumentation des SEM, die Urteilskopie führe zu keinem anderen Schluss, weil sie einen bereits als unglaubhaft qualifizierten Sachverhalt stütze, jedenfalls im vorliegenden Fall dem Sinn des Wiedererwägungsverfahrens zuwiderläuft. Das Wiedererwägungsverfahren (oder auch das Revisionsverfahren) sollen es unter anderem gerade ermöglichen, einen als unglaubhaft beurteilten Sachverhalt durch die Vorlage eines weiteren beziehungsweise neuen Beweismittels als glaubhaft erscheinen zu lassen.</w:t>
      </w:r>
    </w:p>
    <w:p>
      <w:r>
        <w:rPr>
          <w:b/>
        </w:rPr>
        <w:t>E. 4.5</w:t>
      </w:r>
    </w:p>
    <w:p>
      <w:r>
        <w:t>Nach dem Gesagten hat die Vorinstanz ihre Begründungspflicht und damit den Anspruch der Beschwerdeführenden auf rechtliches Gehör verletzt. Die angefochtene Verfügung weist demnach formelle Mängel auf.</w:t>
      </w:r>
    </w:p>
    <w:p>
      <w:r>
        <w:rPr>
          <w:b/>
        </w:rPr>
        <w:t>E. 5</w:t>
      </w:r>
    </w:p>
    <w:p>
      <w:r>
        <w:t>Gemäss Art. 61 Abs. 1 VwVG entscheidet das Bundesverwaltungsgericht in der Sache selbst oder weist diese ausnahmsweise mit verbindlichen Weisungen an die Vorinstanz zurück. Eine Kassation und Rückweisung der Sache an die Vorinstanz ist insbesondere dann gerechtfertigt, wenn weitere Tatsachen festgestellt werden müssen sowie ein umfassendes Beweisverfahren durchgeführt werden muss. Die in diesen Fällen fehlende Entscheidreife kann grundsätzlich zwar auch durch die Beschwerdeinstanz selbst hergestellt werden, wenn dies im Einzelfall aus prozessökonomischen Gründen angebracht erscheint (vgl. BVGE 2012/21 E. 5); sie muss dies aber nicht. Vorliegend ist aufgrund des Gesagten nicht von einer bestehenden oder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verlöre. Mit Blick auf die Gesamtlage erscheint folglich eine Kassation mithin als angezeigt.</w:t>
      </w:r>
    </w:p>
    <w:p>
      <w:r>
        <w:rPr>
          <w:b/>
        </w:rPr>
        <w:t>E. 6</w:t>
      </w:r>
    </w:p>
    <w:p>
      <w:r>
        <w:t>Demnach ist die Beschwerde gutzuheissen, die angefochtene Verfügung vom 6. März 2020 aufzuheben und die Sache in Anwendung von Art. 61 Abs. 1 VwVG im Sinne der Erwägungen an das SEM zurückzuweisen. Auf die weiteren Vorbringen in der Rechtsmitteleingabe und in der Eingabe vom 13. November 2020 ist aufgrund der vorliegenden Kassation zum heutigen Zeitpunkt nicht näher einzugehen.</w:t>
      </w:r>
    </w:p>
    <w:p>
      <w:r>
        <w:rPr>
          <w:b/>
        </w:rPr>
        <w:t>E. 7.1</w:t>
      </w:r>
    </w:p>
    <w:p>
      <w:r>
        <w:t>Bei diesem Ausgang des Verfahrens sind keine Kosten zu erheben (Art. 63 Abs. 1 und 2 VwVG).</w:t>
      </w:r>
    </w:p>
    <w:p>
      <w:r>
        <w:rPr>
          <w:b/>
        </w:rPr>
        <w:t>E. 7.2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800.- (inkl. Auslagen) festgelegt.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