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D-195/2021 vom 28. Januar 2021</w:t>
      </w:r>
    </w:p>
    <w:p>
      <w:r>
        <w:t>Bundesverwaltungsgericht, 2021-01-28, DE</w:t>
      </w:r>
    </w:p>
    <w:p>
      <w:r>
        <w:rPr>
          <w:b/>
        </w:rPr>
        <w:t xml:space="preserve">Quelle: </w:t>
      </w:r>
      <w:r>
        <w:t>https://mcp.opencaselaw.ch/entscheid/bvger_D-195_2021</w:t>
      </w:r>
    </w:p>
    <w:p>
      <w:r>
        <w:t>FR: TAF D-195/2021 du 28 janvier 2021</w:t>
      </w:r>
    </w:p>
    <w:p>
      <w:r>
        <w:t>IT: TAF D-195/2021 del 28 gennaio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 unter Vorbehalt der nachfolgenden Erwägung - einzutreten.</w:t>
      </w:r>
    </w:p>
    <w:p>
      <w:r>
        <w:rPr>
          <w:b/>
        </w:rPr>
        <w:t>E. 1.3</w:t>
      </w:r>
    </w:p>
    <w:p>
      <w:r>
        <w:t>Mit der vorliegenden Verfügung hat die Vorinstanz im Dispositiv keine Anordnungen zum ZEMIS-Eintrag getroffen, weshalb diesbezüglich kein Anfechtungsobjekt vorliegt. Auf den entsprechenden Eventualantrag bezüglich Änderung des Geburtsdatums des Beschwerdeführers im ZEMIS ist daher nicht einzutreten. Der Beschwerdeführer müsste zur Änderung seines Geburtsdatums im ZEMIS vielmehr ein separates Verfahren bei der Vorinstanz anstrengen (vgl. bspw. Urteil des BVGer F-3255/2020 vom 2. Juli 2020 E. 3).</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vorliegende Beschwerde erweist sich - wie nachfolgend aufgezeigt -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3.2</w:t>
      </w:r>
    </w:p>
    <w:p>
      <w:r>
        <w:t>Im Falle von unbegleiteten Minderjährigen ohne familiäre Anknüpfungspunkte (zu einem anderen Mitgliedstaat) ist gemäss Art. 8 Abs. 4 Dublin-III-VO der Staat zuständig, in welchem der Minderjährige seinen Antrag gestellt hat, sofern es dem Wohl des Minderjährigen dient. Eine Anwendung dieser Bestimmung würde im vorliegenden Fall eine vorrangige Zuständigkeit der Schweiz begründen (vgl. Filzwieser/Sprung, Dublin III-Verordnung, Wien 2014, Kap. 15 f. zu Art. 8).</w:t>
      </w:r>
    </w:p>
    <w:p>
      <w:r>
        <w:rPr>
          <w:b/>
        </w:rPr>
        <w:t>E. 4.1</w:t>
      </w:r>
    </w:p>
    <w:p>
      <w:r>
        <w:t>Das SEM führte vorliegend wegen Zweifeln an der Minderjährigkeit des Beschwerdeführers eine Altersabklärung durch. Im entsprechenden Gutachten vom 7. Oktober 2020 kam das Institut für Rechtsmedizin des Kantonsspitals B._______ zum Schluss, dass sich beim Beschwerdeführer ein durchschnittliches Lebensalter von 18 bis 21 Jahren ergebe, das wahrscheinlichste Alter basierend auf dem Medianwert der radiologischen Untersuchung der Hand bei 18 Jahren liege und sich bei ihm in Zusammenschau aller Untersuchungsbefunde zum Zeitpunkt der Untersuchung ein Mindestalter von 18 Jahren ermitteln lasse. Das von ihm angegebene Geburtsdatum könne somit aufgrund der Ergebnisse der forensischen Altersschätzung nicht zutreffen und eine Vollendung des 18. Lebensjahres könne mit der notwendigen Sicherheit belegt werden.</w:t>
      </w:r>
    </w:p>
    <w:p>
      <w:r>
        <w:rPr>
          <w:b/>
        </w:rPr>
        <w:t>E. 4.2.1</w:t>
      </w:r>
    </w:p>
    <w:p>
      <w:r>
        <w:t>Die unrichtige oder unvollständige Feststellung des rechtserheblichen Sachverhalts in Verletzung der behördlichen Untersuchungspflicht bildet einen Beschwerdegrund (Art. 106 Abs. 1 Bst. b AsylG; vgl. auch E. 2.1). Der Beschwerdeführer bringt in Bezug auf das Altersgutachten entsprechende Rügen vor.</w:t>
      </w:r>
    </w:p>
    <w:p>
      <w:r>
        <w:rPr>
          <w:b/>
        </w:rPr>
        <w:t>E. 4.2.2</w:t>
      </w:r>
    </w:p>
    <w:p>
      <w:r>
        <w:t>Die in der Beschwerdeschrift aufgeworfenen Fragen erscheinen berechtigt. Gemäss dem in der Beschwerde zitierten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ebenda E. 4.2.1 f.). Im Altersgutachten wurde bezüglich des Skelettalters des Beschwerdeführers festgehalten, dass die Wachstumsfugen der inneren Schlüsselbeinanteile beidseits Normvarianten aufweisen würden, sodass sie für die Altersdiagnostik nicht konklusiv zu beurteilen seien. Mithin konnte aufgrund der Schlüsselbeinaltersanalyse keine Altersangabe gemacht werden. Bezüglich des Zahnalters wurde unter anderem angeführt, dass sich an den Weisheitszähnen in Regio 18, 28, 38 und 48 jeweils ein Mineralisationsstadium von "G" nach Demirjian gefunden habe. Daraus würden sich Entwicklungsstadien ergeben, welche nach Olze auf ein Durchschnittsalter von 20 bis 21 Jahren schliessen lassen würden. Für das Mineralisationsstadium "G" der Weisheitszähne sei nach Knell et al. kein Mindestalter angegeben. In diesem Zusammenhang wurde in der Beschwerdeschrift darauf hingewiesen, dass nach Knell et al. das Mineralisationsstadium "H" der Weisheitszähne, welches ein Stadium weiterentwickelt sei als das beim Beschwerdeführer vorliegende Mineralisationsstadium "G" (vgl. den mit der Beschwerdeschrift eingereichten Artikel aus der Schweizerischen Monatsschrift für Zahnmedizin [BM10]), auf ein Mindestalter von nur 17 Jahren schliessen lasse (vgl. die eingereichten "Vergleichsgutachten"). Die eingereichten "Vergleichsgutachten" kamen sodann - bei tieferen (resp. knapp höheren) Mindestalter der Schlüsselbeinaltersanalysen und im Übrigen mit zum vorliegenden Altersgutachten identischen Ausführungen zur Handknochenanalyse - zur Schlussfolgerung, dass sich bei den betreffenden Personen in Zusammenschau aller Untersuchungsbefunde ein Mindestalter von 17 Jahren ermitteln lasse, wobei in diesem Zusammenhang darauf hinzuweisen ist, dass das höchste Mindestalter für die Bestimmung des definitiven Mindestalters massgeblich ist, wenn sich aus mehreren Untersuchungen ein Mindestalter ergibt (vgl. Ausführungen in den Gutachten unter dem Titel "1. Methoden und Begriffe"). Weiter wurde in den "Vergleichsgutachten" - jedenfalls in jenen vom 28. Oktober und 18. November 2020 (BM 7 und 8) - festgehalten, dass eine Vollendung des 18. Lebensjahres nicht mit der notwendigen Sicherheit belegt werden könne.</w:t>
      </w:r>
    </w:p>
    <w:p>
      <w:r>
        <w:rPr>
          <w:b/>
        </w:rPr>
        <w:t>E. 4.3</w:t>
      </w:r>
    </w:p>
    <w:p>
      <w:r>
        <w:t>Nach dem Gesagten ist auch für das Gericht das in der Schlussfolgerung des vorliegenden Altersgutachtens angegebene Mindestalter von 18 Jahren sowie die Feststellung, dass eine Vollendung des 18. Lebensjahres mit der notwendigen Sicherheit belegt werden könne, nicht genügend nachvollziehbar. Insbesondere erscheinen die Ausführungen in Bezug auf das für den Beschwerdeführer attestierte Mineralisationsstadium "G" im Vergleich zu den Ausführungen in den als Beweismittel eingereichten Gutachten zum Mineralisationsstadium "H" erläuterungsbedürftig. Dies umso mehr, als sich aus der Schlüsselbeinanalyse keine verwertbaren Erkenntnisse ergaben. Das SEM hat sich in seiner Begründung zwar nicht wesentlich und insbesondere nicht auf ebendiese Schlussfolgerungen des Gutachtens abgestützt (respektive ist unklar, auf welches im Gutachten genannte Alter es sich bei seiner Erwägung bezüglich mehrjährigem Abweichungsfaktor stützte). Das ist indes zweitrangig. Da es das SEM überhaupt als notwendig erachtete, ein Altersgutachten durchführen zu lassen, es dem Beschwerdeführer das rechtliche Gehör dazu einräumte und sich aus der angefochtenen Verfügung nicht ergibt, dass das Gutachten in keiner Weise berücksichtigt worden wäre, hätte es angesichts der festgestellten Unklarheiten weitere Abklärungen treffen respektive das Institut für Rechtsmedizin des Kantonsspitals B._______ um entsprechende Klärung ersuchen müssen. Die angefochtene Verfügung erging mithin in Verletzung des Untersuchungsgrundsatzes und gestützt auf einen unvollständig beziehungsweise unrichtig festgestellten Sachverhalt.</w:t>
      </w:r>
    </w:p>
    <w:p>
      <w:r>
        <w:rPr>
          <w:b/>
        </w:rPr>
        <w:t>E. 5</w:t>
      </w:r>
    </w:p>
    <w:p>
      <w:r>
        <w:t>Aufgrund des Gesagten ist die Beschwerde gutzuheissen, soweit darauf einzutreten ist. Die Verfügung vom 6. Januar 2021 ist aufzuheben und die Sache im Sinne der Erwägungen zur weiteren Sachverhaltsabklärung und neuer Entscheidung an die Vorinstanz zurückzuweisen. Angesichts der Rückweisung der Sache erübrigt sich eine Auseinandersetzung mit den weiteren Vorbringen in der Beschwerdeschrift.</w:t>
      </w:r>
    </w:p>
    <w:p>
      <w:r>
        <w:rPr>
          <w:b/>
        </w:rPr>
        <w:t>E. 6.1</w:t>
      </w:r>
    </w:p>
    <w:p>
      <w:r>
        <w:t>Mit vorliegendem Entscheid ist das Beschwerdeverfahren abgeschlossen. Die Gesuche um Gewährung der aufschiebenden Wirkung und um Verzicht auf die Erhebung eines Kostenvorschusses sind damit gegenstandslos geworden.</w:t>
      </w:r>
    </w:p>
    <w:p>
      <w:r>
        <w:rPr>
          <w:b/>
        </w:rPr>
        <w:t>E. 6.2</w:t>
      </w:r>
    </w:p>
    <w:p>
      <w:r>
        <w:t>Bei diesem Ausgang des Verfahrens sind keine Kosten zu erheben (Art. 63 Abs. 1 und 2 VwVG). Das Gesuch um Gewährung der unentgeltlichen Prozessführung ist folglich hinfällig.</w:t>
      </w:r>
    </w:p>
    <w:p>
      <w:r>
        <w:rPr>
          <w:b/>
        </w:rPr>
        <w:t>E. 6.3</w:t>
      </w:r>
    </w:p>
    <w:p>
      <w:r>
        <w:t>Dem vertretenen Beschwerdeführer ist für das Beschwerdeverfahren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